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1000154550/2022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HELENA NAVES AMARAL DUARTE DE ABREU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1000154550/2022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HELENA NAVES AMARAL DUARTE DE ABREU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1000154550/2022 instaurado em desfavor de HELENA NAVES AMARAL DUARTE DE ABREU por infração ao disposto no artigo 45 da Lei 12378/2010, o que atrai as penalidades previstas no artigo 50 da Lei 12378/2010. Consta que a profissional expôs o ambiente intitulado “CLÍNICA ELEVE” na mostra Casa Cor Goiânia sem, entretanto, ter realizado RRT de projeto. A autuada foi preventivamente notificada mas não efetuou regularização no prazo fornecido. Assim, foi lavrado o auto de infração, do que a autuada teve regular ciência. O prazo para defesa transcorreu sem manifestação. Os autos foram remetidos a esta Comissão para análise e julgamento.</w:t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relatório, passo ao voto.</w:t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Compulsando os autos, nota-se que o profissional deixou de realizar o RRT relativo ao projeto do ambiente exposto. Ainda que se cuide de ambientes expostos em mostras de arquitetura, como é o caso, a realização dos RRTs respectivos é obrigatória, conforme expressamente disposto no artigo 45 da Lei 12378/2010.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Eventual RRT realizado após a finalização da mostra deve ser elaborado na modalidade extemporâneo, conforme resolução n. 91 do CAU/BR. Assim, RRTs simples não servem como regularização. 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VOTO pela MANUTENÇÃO DO AUTO DE INFRAÇÃO LAVRADO, em seus integrais termos, nos moldes do artigo 19 da Resolução n. 22 do CAU/BR. </w:t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infração praticada não comporta valoração individualizada da penalidade já que expressa no artigo 50 da Lei 12378/2010. Assim, mantenho-a fixa em 300%  sobre o valor da taxa de RRT não recolhida, para cada atividade técnica não registrada, ou seja, R$ 326,07.</w:t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CONSELHEIRA RELATORA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1000154550/2022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HELENA NAVES AMARAL DUARTE DE ABREU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70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72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1000154550/2022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HELENA NAVES AMARAL DUARTE DE ABREU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60/2022-CEEFP/GO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83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84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85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6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Pela APROVAÇÃO do voto do Conselheiro Relator, nos termos do artigo 19 da Resolução n. 22 do CAU/BR, que decidiu pela MANUTENÇÃO DO AUTO DE INFRAÇÃO LAVRADO, em seus integrais termos, nos moldes do artigo 19 da Resolução n. 22 do CAU/BR. </w:t>
      </w:r>
    </w:p>
    <w:p w:rsidR="00000000" w:rsidDel="00000000" w:rsidP="00000000" w:rsidRDefault="00000000" w:rsidRPr="00000000" w14:paraId="00000089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A infração praticada não comporta valoração individualizada da penalidade já que expressa no artigo 50 da Lei 12378/2010. Assim, mantenho-a fixa em 300%  sobre o valor da taxa de RRT não recolhida, ou seja, R$ 326,07.</w:t>
      </w:r>
    </w:p>
    <w:p w:rsidR="00000000" w:rsidDel="00000000" w:rsidP="00000000" w:rsidRDefault="00000000" w:rsidRPr="00000000" w14:paraId="0000008A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– Fica a autuada intimada para que pague a multa fixada ou para que, querendo, interponha recurso ao Plenário do Conselho de Arquitetura e Urbanismo de Goiás, no prazo de TRINTA DIAS contados do primeiro dia útil subsequente ao recebimento desta deliberação. </w:t>
      </w:r>
    </w:p>
    <w:p w:rsidR="00000000" w:rsidDel="00000000" w:rsidP="00000000" w:rsidRDefault="00000000" w:rsidRPr="00000000" w14:paraId="0000008B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 – Querendo, a autuada poderá simplesmente realizar RRT Extemporâneo para a atividade fiscalizada (projeto) ou prosseguir, finalizando adequadamente, aquele que já tiver iniciado. Findo o procedimento do extemporâneo, o autuado deverá dar ciência à Área de Fiscalização.</w:t>
      </w:r>
    </w:p>
    <w:p w:rsidR="00000000" w:rsidDel="00000000" w:rsidP="00000000" w:rsidRDefault="00000000" w:rsidRPr="00000000" w14:paraId="0000008C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Goiânia,12 de agosto de 2022.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9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-468149</wp:posOffset>
          </wp:positionH>
          <wp:positionV relativeFrom="topMargin">
            <wp:posOffset>-438149</wp:posOffset>
          </wp:positionV>
          <wp:extent cx="8499358" cy="1413933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dhu/o4r2NvPZX6+7gIdOsItsA==">AMUW2mX5wtdQ8s3txwA+b9I8Q51jh6N3Lfz1NCHkXbEm9MkXhJEKKZsOGvPv54b7PSrrNF0wgIXVix7fetqKjeZ5wH1k0TT8narAJFPLkKgZalB6mLxSiXkxxGaBNOSb+KQgvJxe1bv0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5073E7A0B53A4DD5BBF821445CB35019</vt:lpstr>
  </property>
</Properties>
</file>