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1000149158/2022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SAOL SOLUCOES CONSTRUTIVAS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TERMO DE DESIGNAÇÃO DE RELATOR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Coordenador (a) da Comissão de Exercício Profissional, Ensino e Formação do Conselho de Arquitetura e Urbanismo de Goiás, designa o (a) Conselheiro (a)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ANDREY AMADOR MACHADO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relator (a) do presente processo.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1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-1190624</wp:posOffset>
            </wp:positionH>
            <wp:positionV relativeFrom="paragraph">
              <wp:posOffset>309820</wp:posOffset>
            </wp:positionV>
            <wp:extent cx="8344869" cy="999066"/>
            <wp:effectExtent b="0" l="0" r="0" t="0"/>
            <wp:wrapSquare wrapText="bothSides" distB="0" distT="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1000149158/2022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SAOL SOLUCOES CONSTRUTIVAS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RELATÓRIO E VOTO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C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Trata-se de processo de auto de infração n.º 1000149158/2022 instaurado em desfavor de SAOL SOLUCOES CONSTRUTIVAS por infração ao disposto no artigo 7º da Lei 12378/2010, o que atrai as penalidades previstas no artigo 35, X e XI da Resolução 22 do CAU/BR. Consta que a pessoa jurídica desempenha diversas atividades técnico-construtivas sem, entretanto, possuir registro no CAU ou no CREA. Foi lavrada a notificação preventiva, do que o autuado foi devidamente notificado. Não houve apresentação de regularização. Foi lavrado o auto de infração. O autuado foi notificado. No prazo de defesa, o autuado realizou requerimento de registro neste Conselho. Apresentou defesa argumentando, em síntese, que “a empresa apenas é responsável apenas pela contratação dos profissionais e execução dos trabalhos técnicos descritos em sua atividade econômica que não precisam de licença prévia para execução”; que solicitou registro de empresa perante o Conselho.</w:t>
      </w:r>
    </w:p>
    <w:p w:rsidR="00000000" w:rsidDel="00000000" w:rsidP="00000000" w:rsidRDefault="00000000" w:rsidRPr="00000000" w14:paraId="0000003D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o necessário relatório, passo ao voto. </w:t>
      </w:r>
    </w:p>
    <w:p w:rsidR="00000000" w:rsidDel="00000000" w:rsidP="00000000" w:rsidRDefault="00000000" w:rsidRPr="00000000" w14:paraId="0000003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Inicialmente, é importante estabelecer que o registro de pessoas jurídicas que desempenhem atividades técnicas relacionadas com profissões regulamentadas demandam o efetivo registro de tais empresas nos Conselhos de Fiscalização Profissional competentes. </w:t>
      </w:r>
    </w:p>
    <w:p w:rsidR="00000000" w:rsidDel="00000000" w:rsidP="00000000" w:rsidRDefault="00000000" w:rsidRPr="00000000" w14:paraId="0000003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pessoa jurídica e suas responsabilidades não se confudem com a pessoa natural e as responsabilidades de seus sócios e contratados. Tais responsabilidades existem não apenas no plano econômico, mas também no plano técnico. Não sem razão, as anotações de responsabilidade técnica e os registros de responsabilidade técnica realizadas por profissionais integrantes do quadro técnico de pessoas jurídicas devem vinculá-las em seus ARTs e RRTs. </w:t>
      </w:r>
    </w:p>
    <w:p w:rsidR="00000000" w:rsidDel="00000000" w:rsidP="00000000" w:rsidRDefault="00000000" w:rsidRPr="00000000" w14:paraId="00000040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próprio artigo 7º da Lei 12378/2010 (regulamenta a aquitetura e o urbanismo) estabelece que a pessoa jurídica que desempenhe atividades privativas de arquiteto sem registro no Conselho, exerce ilegalmente a profissão. Idêntica disposição é prevista no artigo 8º, parágrafo único da Lei 5194/66 (regulamenta a profissão de engenheiro).</w:t>
      </w:r>
    </w:p>
    <w:p w:rsidR="00000000" w:rsidDel="00000000" w:rsidP="00000000" w:rsidRDefault="00000000" w:rsidRPr="00000000" w14:paraId="00000041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Logo, seja por decorrência lógica de como as coisas devem ser, seja por imposição legal, o registro da pessoa jurídica em questão, seja no CAU, seja no CREA, era obrigatório. Basta que se verifique que a empresa possui, entre suas atividades econômicas informadas aos órgãos fazendários, o desempenho, justamente, da arquitetura e do urbanismo.</w:t>
      </w:r>
    </w:p>
    <w:p w:rsidR="00000000" w:rsidDel="00000000" w:rsidP="00000000" w:rsidRDefault="00000000" w:rsidRPr="00000000" w14:paraId="00000042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Isto posto, verifico que a pessoa jurídica em questão efetivamente solicitou registro da empresa neste Conselho, o que foi atendido. Entretanto, noto, ainda, que a solicitação se deus mais de um mês após o recebimento da notificação preventiva. </w:t>
      </w:r>
    </w:p>
    <w:p w:rsidR="00000000" w:rsidDel="00000000" w:rsidP="00000000" w:rsidRDefault="00000000" w:rsidRPr="00000000" w14:paraId="00000043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Segundo as normas de procedimento instituídas pela Resolução n. 22, a pessoa jurídica deve realizar regularização nos dez dias seguintes ao recebimento da notificação preventiva. A notificação preventiva foi recebida pelo interessado no dia 08 de junho de 2022. A empresa solicitou seu registro aos 19 de julho de 2022, quando o auto de infração já havia sido, corretamente, lavrado. </w:t>
      </w:r>
    </w:p>
    <w:p w:rsidR="00000000" w:rsidDel="00000000" w:rsidP="00000000" w:rsidRDefault="00000000" w:rsidRPr="00000000" w14:paraId="00000044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Assim, e conforme expresso no artigo 16, §2º da Resolução n. 22 do CAU/BR, “d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highlight w:val="white"/>
          <w:vertAlign w:val="baseline"/>
          <w:rtl w:val="0"/>
        </w:rPr>
        <w:t xml:space="preserve">epois de lavrado o auto de infração a regularização da situação não exime a pessoa física ou jurídica das cominações legais”.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-1190624</wp:posOffset>
            </wp:positionH>
            <wp:positionV relativeFrom="paragraph">
              <wp:posOffset>343441</wp:posOffset>
            </wp:positionV>
            <wp:extent cx="8344869" cy="999066"/>
            <wp:effectExtent b="0" l="0" r="0" t="0"/>
            <wp:wrapSquare wrapText="bothSides" distB="0" distT="0" distL="114300" distR="11430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VOTO, pois, PELA MANUTENÇÃO DO AUTO DE INFRAÇÃO LAVRADO, em seus integrais termos, nos moldes do artigo 19 da Resolução n. 22 do CAU/BR.</w:t>
      </w:r>
    </w:p>
    <w:p w:rsidR="00000000" w:rsidDel="00000000" w:rsidP="00000000" w:rsidRDefault="00000000" w:rsidRPr="00000000" w14:paraId="00000046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Atento aos vetores de orientação para aplicação da penalidade previstos no artigo 36 da Resolução n. 22 do CAU/BR tenho a pontuar conforme segue: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0"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situação econômica da empresa é ignorada;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0"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empresa não possui antecedentes, sendo, assim, primária;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0"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gravidade e as consequências da infração são ordinárias;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0"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Houve regularização. </w:t>
      </w:r>
    </w:p>
    <w:p w:rsidR="00000000" w:rsidDel="00000000" w:rsidP="00000000" w:rsidRDefault="00000000" w:rsidRPr="00000000" w14:paraId="0000004B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Logo, sendo favoráveis todas as circunstâncias pontuadas fixo a multa no mínimo, ou seja, 5 vezes o valor vigente da anuidade, ou seja, R$ 3170,04. </w:t>
      </w:r>
    </w:p>
    <w:p w:rsidR="00000000" w:rsidDel="00000000" w:rsidP="00000000" w:rsidRDefault="00000000" w:rsidRPr="00000000" w14:paraId="0000004C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como voto.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ANDREY AMADOR MACHADO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CONSELHEIRO (A) RELATOR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Comissão de Ensino, Exercício e Formação Profissional</w:t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53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</w:p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-1472084</wp:posOffset>
            </wp:positionH>
            <wp:positionV relativeFrom="paragraph">
              <wp:posOffset>247251</wp:posOffset>
            </wp:positionV>
            <wp:extent cx="8344869" cy="999066"/>
            <wp:effectExtent b="0" l="0" r="0" t="0"/>
            <wp:wrapSquare wrapText="bothSides" distB="0" distT="0" distL="114300" distR="11430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1000149158/2022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SAOL SOLUCOES CONSTRUTIVAS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FORMULÁRIO DE VOTAÇÃO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0.0" w:type="dxa"/>
        <w:jc w:val="left"/>
        <w:tblInd w:w="-63.0" w:type="dxa"/>
        <w:tblLayout w:type="fixed"/>
        <w:tblLook w:val="0000"/>
      </w:tblPr>
      <w:tblGrid>
        <w:gridCol w:w="5080"/>
        <w:gridCol w:w="1842"/>
        <w:gridCol w:w="1818"/>
        <w:tblGridChange w:id="0">
          <w:tblGrid>
            <w:gridCol w:w="5080"/>
            <w:gridCol w:w="1842"/>
            <w:gridCol w:w="18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Conselheiro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(favorável / contra / abstenção)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Andrey Amador Machado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(coordenador)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Camila Dias e Santos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(suplente)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widowControl w:val="1"/>
              <w:shd w:fill="ffffff" w:val="clear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Gabriel de Castro Xavier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8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-1476374</wp:posOffset>
            </wp:positionH>
            <wp:positionV relativeFrom="paragraph">
              <wp:posOffset>2573984</wp:posOffset>
            </wp:positionV>
            <wp:extent cx="8344869" cy="999066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7"/>
        <w:tblW w:w="8720.0" w:type="dxa"/>
        <w:jc w:val="left"/>
        <w:tblInd w:w="108.0" w:type="pct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1000149158/2022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SAOL SOLUCOES CONSTRUTIVAS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DELIBERAÇÃO N.º 59/2022-CEEFP/GO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ind w:firstLine="75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Conselho de Arquitetura e Urbanismo de Goiás – CAU/GO, no uso das atribuições que lhe conferem o artigo 33 e art. 34 da Lei 12378, de 31 de dezembro de 2010, e o Regimento Interno do CAU/GO,</w:t>
      </w:r>
    </w:p>
    <w:p w:rsidR="00000000" w:rsidDel="00000000" w:rsidP="00000000" w:rsidRDefault="00000000" w:rsidRPr="00000000" w14:paraId="0000009F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o que dispõe a Resolução n.º 22 do CAU/BR, em seus artigos 19 e seguintes, quanto à competência da Comissão de Ensino, Exercício e Formação Profissional do CAU/GO para apreciação de recurso nos processos de fiscalização.</w:t>
      </w:r>
    </w:p>
    <w:p w:rsidR="00000000" w:rsidDel="00000000" w:rsidP="00000000" w:rsidRDefault="00000000" w:rsidRPr="00000000" w14:paraId="000000A0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a emissão de relatório e parecer pelo Conselheiro Relator.</w:t>
      </w:r>
    </w:p>
    <w:p w:rsidR="00000000" w:rsidDel="00000000" w:rsidP="00000000" w:rsidRDefault="00000000" w:rsidRPr="00000000" w14:paraId="000000A1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CONSIDERANDO a votação conforme folha anexa a esta Deliberação.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DELIBEROU: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– Por UNANIMIDADE pela MANUTENÇÃO DO AUTO DE INFRAÇÃO LAVRADO, em seus integrais termos, nos moldes do artigo 19 da Resolução n. 22 do CAU/BR e pela fixação de multa no valor de 5 vezes o valor vigente da anuidade, ou seja, R$ 3170,04. </w:t>
      </w:r>
    </w:p>
    <w:p w:rsidR="00000000" w:rsidDel="00000000" w:rsidP="00000000" w:rsidRDefault="00000000" w:rsidRPr="00000000" w14:paraId="000000A5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2 - Notifique-se o interessado para que pague a multa fixada nesta deliberação ou para que, querendo, interponha recurso ao Plenário do Conselho de Arquitetura e Urbanismo de Goiás no prazo de TRINTA DIAS contados do primeiro dia útil subsequente ao recebimento desta deliberação. </w:t>
      </w:r>
    </w:p>
    <w:p w:rsidR="00000000" w:rsidDel="00000000" w:rsidP="00000000" w:rsidRDefault="00000000" w:rsidRPr="00000000" w14:paraId="000000A6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3 - Findo o prazo fixado sem pagamento ou recurso, encaminhe-se os autos para cobrança e, sendo o caso, ajuizamento de execução. </w:t>
      </w:r>
    </w:p>
    <w:p w:rsidR="00000000" w:rsidDel="00000000" w:rsidP="00000000" w:rsidRDefault="00000000" w:rsidRPr="00000000" w14:paraId="000000A7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4 - Eventuais recursos ou pedidos de parcelamento da multa devem ser encaminhados para o e-mail apoio.cepef@caugo.gov.br. </w:t>
      </w:r>
    </w:p>
    <w:p w:rsidR="00000000" w:rsidDel="00000000" w:rsidP="00000000" w:rsidRDefault="00000000" w:rsidRPr="00000000" w14:paraId="000000A8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43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AA">
      <w:pPr>
        <w:ind w:left="4320" w:firstLine="0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Titular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Camila Dias e Santos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1"/>
        <w:shd w:fill="ffffff" w:val="clear"/>
        <w:jc w:val="left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B4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B6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-1057274</wp:posOffset>
            </wp:positionH>
            <wp:positionV relativeFrom="paragraph">
              <wp:posOffset>442001</wp:posOffset>
            </wp:positionV>
            <wp:extent cx="8344869" cy="999066"/>
            <wp:effectExtent b="0" l="0" r="0" t="0"/>
            <wp:wrapSquare wrapText="bothSides" distB="0" distT="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-1476374</wp:posOffset>
            </wp:positionH>
            <wp:positionV relativeFrom="paragraph">
              <wp:posOffset>7772327</wp:posOffset>
            </wp:positionV>
            <wp:extent cx="8344869" cy="999066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-2830838</wp:posOffset>
          </wp:positionH>
          <wp:positionV relativeFrom="paragraph">
            <wp:posOffset>904875</wp:posOffset>
          </wp:positionV>
          <wp:extent cx="8344869" cy="999066"/>
          <wp:effectExtent b="0" l="0" r="0" t="0"/>
          <wp:wrapSquare wrapText="bothSides" distB="0" distT="0" distL="114300" distR="11430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44869" cy="99906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935" distR="114935" hidden="0" layoutInCell="1" locked="0" relativeHeight="0" simplePos="0">
          <wp:simplePos x="0" y="0"/>
          <wp:positionH relativeFrom="leftMargin">
            <wp:posOffset>-472439</wp:posOffset>
          </wp:positionH>
          <wp:positionV relativeFrom="topMargin">
            <wp:posOffset>-400049</wp:posOffset>
          </wp:positionV>
          <wp:extent cx="8499358" cy="1413933"/>
          <wp:effectExtent b="0" l="0" r="0" t="0"/>
          <wp:wrapSquare wrapText="bothSides" distB="0" distT="0" distL="114935" distR="114935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99358" cy="14139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0"/>
      <w:suppressAutoHyphens w:val="0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çãoChar">
    <w:name w:val="Citação Char"/>
    <w:next w:val="CitaçãoChar"/>
    <w:autoRedefine w:val="0"/>
    <w:hidden w:val="0"/>
    <w:qFormat w:val="0"/>
    <w:rPr>
      <w:iCs w:val="1"/>
      <w:color w:val="000000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widowControl w:val="1"/>
      <w:suppressAutoHyphens w:val="1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="226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MS Mincho" w:hAnsi="Times New Roman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8DSlg5LWuzcQVfB4NxxSOB5pyQ==">AMUW2mXiWb9ncigBio24ESvcY4JtNsW0hlp0HN+Il4fHAaXQjxK4+D5E5FK8ZsHuJZCFuVNOV5ZCX6XkkiQpmYECxOpDDLu8jWAbVeRTVDNt9CAAWqPRqBB1dO436uCdTAyf+azVSVDr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2022-02-04T10:22:00Z</dcterms:created>
  <dc:creator>Paula Vianna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1046-11.2.0.11254</vt:lpstr>
  </property>
  <property fmtid="{D5CDD505-2E9C-101B-9397-08002B2CF9AE}" pid="3" name="ICV">
    <vt:lpstr>AAA5A8602CCA42608E04C585B6435356</vt:lpstr>
  </property>
</Properties>
</file>