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1000154239/2022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GABRIEL LUIZ LELITSCEW DA BELA CRUZ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Coordenador (a) da Comissão de Exercício Profissional, Ensino e Formação do Conselho de Arquitetura e Urbanismo de Goiás, designa o (a)  Conselheiro (a) </w:t>
      </w:r>
      <w:r w:rsidDel="00000000" w:rsidR="00000000" w:rsidRPr="00000000">
        <w:rPr>
          <w:highlight w:val="white"/>
          <w:rtl w:val="0"/>
        </w:rPr>
        <w:t xml:space="preserve">GABRIEL DE CASTRO XAVIER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1B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vertAlign w:val="baseline"/>
          <w:rtl w:val="0"/>
        </w:rPr>
        <w:t xml:space="preserve">Ad Referendum</w:t>
      </w:r>
      <w:r w:rsidDel="00000000" w:rsidR="00000000" w:rsidRPr="00000000">
        <w:rPr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1E">
      <w:pPr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7.0" w:type="dxa"/>
        <w:jc w:val="left"/>
        <w:tblInd w:w="0.0" w:type="dxa"/>
        <w:tblLayout w:type="fixed"/>
        <w:tblLook w:val="0000"/>
      </w:tblPr>
      <w:tblGrid>
        <w:gridCol w:w="4660"/>
        <w:gridCol w:w="4627"/>
        <w:tblGridChange w:id="0">
          <w:tblGrid>
            <w:gridCol w:w="4660"/>
            <w:gridCol w:w="46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ind w:hanging="2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Andrey Amador Machado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ind w:hanging="2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Guilherme Vieira Cipriano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ind w:hanging="2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Coordenador da </w:t>
            </w: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CEEPF-CAU/GO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hanging="2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Assessor Jurídico e de Comissões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1000154239/2022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GABRIEL LUIZ LELITSCEW DA BELA CRUZ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Trata-se de processo de auto de infração n.º 1000154239/2022 instaurado em desfavor de GABRIEL LUIZ LELITSCEW DA BELA CRUZ por infração ao disposto no artigo 45 da Lei 12378/2010, o que atrai as penalidades previstas no artigo 50 da Lei 12378/2010. Consta que a profissional expôs o ambiente intitulado “Restaurante” na mostra Casa Cor Goiânia sem, entretanto, ter realizado RRT de execução. A autuada foi preventivamente notificada mas não efetuou regularização no prazo fornecido. Assim, foi lavrado o auto de infração, do que a autuada teve regular ciência. O prazo para defesa transcorreu sem manifestação. Os autos foram remetidos a esta Comissão para análise e julgamento.</w:t>
      </w:r>
    </w:p>
    <w:p w:rsidR="00000000" w:rsidDel="00000000" w:rsidP="00000000" w:rsidRDefault="00000000" w:rsidRPr="00000000" w14:paraId="0000003F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É o relatório, passo ao voto.</w:t>
      </w:r>
    </w:p>
    <w:p w:rsidR="00000000" w:rsidDel="00000000" w:rsidP="00000000" w:rsidRDefault="00000000" w:rsidRPr="00000000" w14:paraId="00000040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Compulsando os autos, nota-se que o profissional deixou de realizar o RRT relativo ao projeto do ambiente exposto. Ainda que se cuide de ambientes expostos em mostras de arquitetura, como é o caso, a realização dos RRTs respectivos é obrigatória, conforme expressamente disposto no artigo 45 da Lei 12378/2010.</w:t>
      </w:r>
    </w:p>
    <w:p w:rsidR="00000000" w:rsidDel="00000000" w:rsidP="00000000" w:rsidRDefault="00000000" w:rsidRPr="00000000" w14:paraId="00000041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Eventual RRT realizado após a finalização da mostra deve ser elaborado na modalidade extemporâneo, conforme resolução n. 91 do CAU/BR. Assim, RRTs simples não servem como regularização. </w:t>
      </w:r>
    </w:p>
    <w:p w:rsidR="00000000" w:rsidDel="00000000" w:rsidP="00000000" w:rsidRDefault="00000000" w:rsidRPr="00000000" w14:paraId="00000042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Assim, VOTO pela MANUTENÇÃO DO AUTO DE INFRAÇÃO LAVRADO, em seus integrais termos, nos moldes do artigo 19 da Resolução n. 22 do CAU/BR. </w:t>
      </w:r>
    </w:p>
    <w:p w:rsidR="00000000" w:rsidDel="00000000" w:rsidP="00000000" w:rsidRDefault="00000000" w:rsidRPr="00000000" w14:paraId="00000043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infração praticada não comporta valoração individualizada da penalidade já que expressa no artigo 50 da Lei 12378/2010. Assim, mantenho-a fixa em 300%  sobre o valor da taxa de RRT não recolhida, para cada atividade técnica não registrada, ou seja, R$ 326,07.</w:t>
      </w:r>
    </w:p>
    <w:p w:rsidR="00000000" w:rsidDel="00000000" w:rsidP="00000000" w:rsidRDefault="00000000" w:rsidRPr="00000000" w14:paraId="00000044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É como voto.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0" w:firstLine="0"/>
        <w:jc w:val="center"/>
        <w:rPr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CONSELHEIR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b w:val="1"/>
          <w:vertAlign w:val="baseline"/>
          <w:rtl w:val="0"/>
        </w:rPr>
        <w:t xml:space="preserve"> RELATOR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hanging="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vertAlign w:val="baseline"/>
          <w:rtl w:val="0"/>
        </w:rPr>
        <w:t xml:space="preserve">Ad Referendum</w:t>
      </w:r>
      <w:r w:rsidDel="00000000" w:rsidR="00000000" w:rsidRPr="00000000">
        <w:rPr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4E">
      <w:pPr>
        <w:spacing w:line="360" w:lineRule="auto"/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Layout w:type="fixed"/>
        <w:tblLook w:val="0000"/>
      </w:tblPr>
      <w:tblGrid>
        <w:gridCol w:w="4660"/>
        <w:gridCol w:w="4627"/>
        <w:tblGridChange w:id="0">
          <w:tblGrid>
            <w:gridCol w:w="4660"/>
            <w:gridCol w:w="46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Andrey Amador Machado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Guilherme Vieira Cipriano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Coordenador da </w:t>
            </w:r>
            <w:r w:rsidDel="00000000" w:rsidR="00000000" w:rsidRPr="00000000">
              <w:rPr>
                <w:smallCaps w:val="1"/>
                <w:rtl w:val="0"/>
              </w:rPr>
              <w:t xml:space="preserve">CEEPF-CAU/GO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Assessor Jurídico e de Comissões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1000154239/2022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GABRIEL LUIZ LELITSCEW DA BELA CRUZ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(suplente)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</w:tbl>
    <w:p w:rsidR="00000000" w:rsidDel="00000000" w:rsidP="00000000" w:rsidRDefault="00000000" w:rsidRPr="00000000" w14:paraId="0000007F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hanging="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vertAlign w:val="baseline"/>
          <w:rtl w:val="0"/>
        </w:rPr>
        <w:t xml:space="preserve">Ad Referendum</w:t>
      </w:r>
      <w:r w:rsidDel="00000000" w:rsidR="00000000" w:rsidRPr="00000000">
        <w:rPr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82">
      <w:pPr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7.0" w:type="dxa"/>
        <w:jc w:val="left"/>
        <w:tblInd w:w="0.0" w:type="dxa"/>
        <w:tblLayout w:type="fixed"/>
        <w:tblLook w:val="0000"/>
      </w:tblPr>
      <w:tblGrid>
        <w:gridCol w:w="4660"/>
        <w:gridCol w:w="4627"/>
        <w:tblGridChange w:id="0">
          <w:tblGrid>
            <w:gridCol w:w="4660"/>
            <w:gridCol w:w="46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ind w:hanging="2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Andrey Amador Machado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ind w:hanging="2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Guilherme Vieira Cipriano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ind w:hanging="2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Coordenador da </w:t>
            </w: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CEEPF-CAU/GO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ind w:hanging="2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Assessor Jurídico e de Comissões</w:t>
            </w:r>
          </w:p>
        </w:tc>
      </w:tr>
    </w:tbl>
    <w:p w:rsidR="00000000" w:rsidDel="00000000" w:rsidP="00000000" w:rsidRDefault="00000000" w:rsidRPr="00000000" w14:paraId="0000008A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1000154239/2022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GABRIEL LUIZ LELITSCEW DA BELA CRUZ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54/2022-CEEFP/GO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ind w:firstLine="759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firstLine="75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96">
      <w:pPr>
        <w:spacing w:line="360" w:lineRule="auto"/>
        <w:ind w:firstLine="70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97">
      <w:pPr>
        <w:spacing w:line="360" w:lineRule="auto"/>
        <w:ind w:firstLine="70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98">
      <w:pPr>
        <w:spacing w:line="360" w:lineRule="auto"/>
        <w:ind w:firstLine="70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99">
      <w:pPr>
        <w:spacing w:line="360" w:lineRule="auto"/>
        <w:ind w:firstLine="709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– Pela APROVAÇÃO do voto do Conselheiro Relator, nos termos do artigo 19 da Resolução n. 22 do CAU/BR, que decidiu pela MANUTENÇÃO DO AUTO DE INFRAÇÃO LAVRADO, em seus integrais termos, nos moldes do artigo 19 da Resolução n. 22 do CAU/BR. </w:t>
      </w:r>
    </w:p>
    <w:p w:rsidR="00000000" w:rsidDel="00000000" w:rsidP="00000000" w:rsidRDefault="00000000" w:rsidRPr="00000000" w14:paraId="0000009D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2 - A infração praticada não comporta valoração individualizada da penalidade já que expressa no artigo 50 da Lei 12378/2010. Assim, mantenho-a fixa em 300%  sobre o valor da taxa de RRT não recolhida, ou seja, R$ 326,07.</w:t>
      </w:r>
    </w:p>
    <w:p w:rsidR="00000000" w:rsidDel="00000000" w:rsidP="00000000" w:rsidRDefault="00000000" w:rsidRPr="00000000" w14:paraId="0000009E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 – Fica a autuada intimada para que pague a multa fixada ou para que, querendo, interponha recurso ao Plenário do Conselho de Arquitetura e Urbanismo de Goiás, no prazo de TRINTA DIAS contados do primeiro dia útil subsequente ao recebimento desta deliberação. </w:t>
      </w:r>
    </w:p>
    <w:p w:rsidR="00000000" w:rsidDel="00000000" w:rsidP="00000000" w:rsidRDefault="00000000" w:rsidRPr="00000000" w14:paraId="0000009F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 – Querendo, a autuada poderá simplesmente realizar RRT Extemporâneo para a atividade fiscalizada (execução) ou prosseguir, finalizando adequadamente, aquele que já tiver iniciado. Findo o procedimento do extemporâneo, o autuado deverá dar ciência à Área de Fiscalização.</w:t>
      </w:r>
    </w:p>
    <w:p w:rsidR="00000000" w:rsidDel="00000000" w:rsidP="00000000" w:rsidRDefault="00000000" w:rsidRPr="00000000" w14:paraId="000000A0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left="4320" w:firstLine="0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A2">
      <w:pPr>
        <w:spacing w:line="36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A5">
      <w:pPr>
        <w:spacing w:line="36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A6">
      <w:pPr>
        <w:spacing w:line="36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A9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shd w:fill="ffffff" w:val="clear"/>
        <w:spacing w:line="360" w:lineRule="auto"/>
        <w:jc w:val="left"/>
        <w:rPr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AC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hanging="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vertAlign w:val="baseline"/>
          <w:rtl w:val="0"/>
        </w:rPr>
        <w:t xml:space="preserve">Ad Referendum</w:t>
      </w:r>
      <w:r w:rsidDel="00000000" w:rsidR="00000000" w:rsidRPr="00000000">
        <w:rPr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AE">
      <w:pPr>
        <w:spacing w:line="360" w:lineRule="auto"/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ind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-1428114</wp:posOffset>
          </wp:positionH>
          <wp:positionV relativeFrom="paragraph">
            <wp:posOffset>318258</wp:posOffset>
          </wp:positionV>
          <wp:extent cx="8344869" cy="999066"/>
          <wp:effectExtent b="0" l="0" r="0" t="0"/>
          <wp:wrapSquare wrapText="bothSides" distB="0" distT="0" distL="114935" distR="114935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44869" cy="9990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-1076959</wp:posOffset>
          </wp:positionH>
          <wp:positionV relativeFrom="paragraph">
            <wp:posOffset>0</wp:posOffset>
          </wp:positionV>
          <wp:extent cx="7546975" cy="89852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-248284</wp:posOffset>
          </wp:positionH>
          <wp:positionV relativeFrom="topMargin">
            <wp:posOffset>-405129</wp:posOffset>
          </wp:positionV>
          <wp:extent cx="8499358" cy="1413933"/>
          <wp:effectExtent b="0" l="0" r="0" t="0"/>
          <wp:wrapSquare wrapText="bothSides" distB="0" distT="0" distL="114935" distR="114935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sFJ8Tm0Q1Dztn5/vz/t8GsEVQ==">AMUW2mVmrZXMFE9tvTDxlw9wvvRSQQLiqQayPwfh/MghxCJ8wXce6jP/VPAQOb3fs2JZRScaxrswupE1f4fn4DQ8iAgJAWYt9IJa8zAm9c9ok3rWPBxNF+n4sxe9cAqqqBM+3IJ8L/sk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AAA5A8602CCA42608E04C585B6435356</vt:lpstr>
  </property>
</Properties>
</file>