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1564509/2022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REGISTROS DEFINITIVOS DE PROFISSIONAIS 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TERMO DE DESIGNAÇÃO DE RELATOR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O Coordenador da Comissão de Exercício Profissional, Ensino e Formação do Conselho de Arquitetura e Urbanismo de Goiás, designa o (a) Conselheiro (a) </w:t>
      </w:r>
      <w:r>
        <w:rPr>
          <w:rFonts w:cs="Times New Roman" w:ascii="Times New Roman" w:hAnsi="Times New Roman"/>
          <w:b/>
          <w:bCs/>
          <w:shd w:fill="auto" w:val="clear"/>
        </w:rPr>
        <w:t>Juliana Guimarães de Medeiros</w:t>
      </w:r>
      <w:r>
        <w:rPr>
          <w:rFonts w:cs="Times New Roman" w:ascii="Times New Roman" w:hAnsi="Times New Roman"/>
        </w:rPr>
        <w:t xml:space="preserve"> relator (a) do presente processo.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right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Goiânia, 08 de julho de 2022.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color w:val="000000"/>
        </w:rPr>
      </w:pPr>
      <w:r>
        <w:rPr>
          <w:rFonts w:cs="Times New Roman" w:ascii="Times New Roman" w:hAnsi="Times New Roman"/>
          <w:b/>
          <w:bCs/>
          <w:color w:val="000000"/>
        </w:rPr>
        <w:t>Andrey Amador Machado</w:t>
      </w:r>
    </w:p>
    <w:p>
      <w:pPr>
        <w:pStyle w:val="Normal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color w:val="000000"/>
        </w:rPr>
        <w:t xml:space="preserve">Coordenador da </w:t>
      </w:r>
      <w:r>
        <w:rPr>
          <w:rFonts w:cs="Times New Roman" w:ascii="Times New Roman" w:hAnsi="Times New Roman"/>
        </w:rPr>
        <w:t>Comissão de Exercício Profissional, Ensino e Formação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Assessor Jurídico e de Comissões</w:t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6"/>
        <w:gridCol w:w="6784"/>
      </w:tblGrid>
      <w:tr>
        <w:trPr/>
        <w:tc>
          <w:tcPr>
            <w:tcW w:w="1936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1564509/2022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DIVERSOS</w:t>
            </w:r>
          </w:p>
        </w:tc>
      </w:tr>
      <w:tr>
        <w:trPr/>
        <w:tc>
          <w:tcPr>
            <w:tcW w:w="1936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REGISTROS DEFINITIVOS DE PROFISSIONAIS </w:t>
            </w:r>
          </w:p>
        </w:tc>
      </w:tr>
      <w:tr>
        <w:trPr>
          <w:trHeight w:val="317" w:hRule="atLeast"/>
        </w:trPr>
        <w:tc>
          <w:tcPr>
            <w:tcW w:w="1936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RELATÓRIO E VOTO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ab/>
      </w:r>
      <w:r>
        <w:rPr>
          <w:rFonts w:cs="Times New Roman" w:ascii="Times New Roman" w:hAnsi="Times New Roman"/>
          <w:sz w:val="22"/>
          <w:szCs w:val="22"/>
        </w:rPr>
        <w:t>O processo, aberto no CAU/GO em 07/07/22, versa sobre registro definitivo dos profissionais que já possuem registro provisório e apresentaram diploma de graduação no Curso de Arquitetura e Urbanismo no mês de junho de 2022, e sobre solicitações de registro profissional com apresentação de certificado de conclusão de curso para registro provisório, que tiveram confirmação de veracidade pela IES até o dia 01/07/22.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  <w:t>A Área Técnica realizou a verificação da graduação dos interessados junto às Instituições de Ensino Superior, juntou as informações daquelas que realizaram a confirmação até dia 03/06/22 e encaminhou o processo para análise e homologação da Comissão.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</w:r>
      <w:r>
        <w:rPr>
          <w:rFonts w:cs="Times New Roman" w:ascii="Times New Roman" w:hAnsi="Times New Roman"/>
          <w:b/>
          <w:sz w:val="22"/>
          <w:szCs w:val="22"/>
        </w:rPr>
        <w:t>É o relatório. Passo ao voto.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2"/>
          <w:szCs w:val="22"/>
        </w:rPr>
        <w:tab/>
      </w:r>
      <w:r>
        <w:rPr>
          <w:rFonts w:cs="Times New Roman" w:ascii="Times New Roman" w:hAnsi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os interessados apresentaram a documentação exigida nas citadas resoluções;</w:t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>Considerando que a verificação dos diplomas e certificados junto às Instituições de Ensino foi realizada;</w:t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ab/>
        <w:t xml:space="preserve">VOTO pela homologação dos pedidos de registro definitivo dos seguintes profissionais: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Nathalya Mizzy de Fatima Gomes Muniz Pacheco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Isabela Amaral Ferreira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Geovana de Jesus Marques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Leticia Justo de Sousa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Ariane Soares Silva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Felipe Leal de Castro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Rogério da Costa Martins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Suellem Teixeira Alves Souza Mariano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Acsa Mara Gomes da Silva Ferreira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Monalisa Correia Lima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Ludmilla Miranda de Carvalho Macedo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Beatriz Rodrigues Freitas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Douglas Henrique Bahia Azevedo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Cristina Cardoso Perillo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Isabela Guimaraes Andrade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Moreira de Souza e pela homologação dos registros provisórios abaixo, sendo que, assim que apresentados os diplomas, devem ter status alterado para “definitivo” pela Área Técnica: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Giovanna Alves Santos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Waryson Nogueira Porto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Vanessa Gomes Celestino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Thiago Afonso dos Santos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Grace Kelly do Nascimento Silva Santiago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Santana Pires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Nathalia Pereira Costa Nascimento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Kamilla Rayane Soares Quirino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>Daniela Gonzaga Pinheiro de Azevedo Montezuma e devolvemos a Área Técnica para continuidade do processo.</w:t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z w:val="22"/>
          <w:szCs w:val="22"/>
          <w:shd w:fill="auto" w:val="clear"/>
        </w:rPr>
        <w:t>Juliana Guimarães de Medeiros</w:t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bCs/>
          <w:sz w:val="22"/>
          <w:szCs w:val="22"/>
          <w:shd w:fill="auto" w:val="clear"/>
        </w:rPr>
        <w:t>CONSELHEIR</w:t>
      </w:r>
      <w:r>
        <w:rPr>
          <w:rFonts w:eastAsia="MS Mincho" w:cs="Times New Roman" w:ascii="Times New Roman" w:hAnsi="Times New Roman"/>
          <w:b/>
          <w:bCs/>
          <w:sz w:val="22"/>
          <w:szCs w:val="22"/>
          <w:shd w:fill="auto" w:val="clear"/>
          <w:lang w:eastAsia="zh-CN"/>
        </w:rPr>
        <w:t>A</w:t>
      </w:r>
      <w:r>
        <w:rPr>
          <w:rFonts w:cs="Times New Roman" w:ascii="Times New Roman" w:hAnsi="Times New Roman"/>
          <w:b/>
          <w:bCs/>
          <w:sz w:val="22"/>
          <w:szCs w:val="22"/>
          <w:shd w:fill="auto" w:val="clear"/>
        </w:rPr>
        <w:t xml:space="preserve"> RELATORA</w:t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>Comissão de Ensino, Exercício e Formação Profissional</w:t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 w:val="false"/>
          <w:bCs w:val="false"/>
          <w:sz w:val="22"/>
          <w:szCs w:val="22"/>
        </w:rPr>
        <w:t>Assessor Jurídico e de Comissões</w:t>
      </w:r>
      <w:r>
        <w:br w:type="page"/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</w:r>
    </w:p>
    <w:tbl>
      <w:tblPr>
        <w:tblW w:w="872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5"/>
        <w:gridCol w:w="6784"/>
      </w:tblGrid>
      <w:tr>
        <w:trPr/>
        <w:tc>
          <w:tcPr>
            <w:tcW w:w="1935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1564509/2022</w:t>
            </w:r>
          </w:p>
        </w:tc>
      </w:tr>
      <w:tr>
        <w:trPr/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DIVERSOS</w:t>
            </w:r>
          </w:p>
        </w:tc>
      </w:tr>
      <w:tr>
        <w:trPr/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REGISTROS DEFINITIVOS DE PROFISSIONAIS </w:t>
            </w:r>
          </w:p>
        </w:tc>
      </w:tr>
      <w:tr>
        <w:trPr/>
        <w:tc>
          <w:tcPr>
            <w:tcW w:w="1935" w:type="dxa"/>
            <w:tcBorders>
              <w:top w:val="single" w:sz="6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DATA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08 DE JULHO DE 2022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tbl>
      <w:tblPr>
        <w:tblW w:w="872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8721"/>
      </w:tblGrid>
      <w:tr>
        <w:trPr/>
        <w:tc>
          <w:tcPr>
            <w:tcW w:w="8721" w:type="dxa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FORMULÁRIO DE VOTAÇÃO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Web"/>
        <w:spacing w:before="0" w:after="0"/>
        <w:rPr/>
      </w:pPr>
      <w:r>
        <w:rPr/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tbl>
      <w:tblPr>
        <w:tblW w:w="8740" w:type="dxa"/>
        <w:jc w:val="left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0" w:noVBand="0" w:lastRow="0" w:firstColumn="0" w:lastColumn="0" w:noHBand="0" w:val="0000"/>
      </w:tblPr>
      <w:tblGrid>
        <w:gridCol w:w="4244"/>
        <w:gridCol w:w="2193"/>
        <w:gridCol w:w="2303"/>
      </w:tblGrid>
      <w:tr>
        <w:trPr/>
        <w:tc>
          <w:tcPr>
            <w:tcW w:w="4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Conselheiro Titular / Suplente</w:t>
            </w:r>
          </w:p>
        </w:tc>
        <w:tc>
          <w:tcPr>
            <w:tcW w:w="21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Assinatura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  <w:bCs/>
              </w:rPr>
              <w:t>Voto (favorável / contra / abstenção)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hanging="0"/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cs="Times New Roman" w:ascii="Times New Roman" w:hAnsi="Times New Roman"/>
                <w:bCs/>
                <w:color w:val="000000"/>
              </w:rPr>
              <w:t>Andrey Amador Machado</w:t>
            </w:r>
          </w:p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(coordenador)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>
              <w:rPr>
                <w:rFonts w:cs="Times New Roman" w:ascii="Times New Roman" w:hAnsi="Times New Roman"/>
              </w:rPr>
              <w:t>Favorável</w:t>
            </w:r>
            <w:bookmarkEnd w:id="0"/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bookmarkStart w:id="1" w:name="_Hlk66454745"/>
            <w:r>
              <w:rPr>
                <w:rFonts w:eastAsia="MS Mincho" w:cs="Times New Roman" w:ascii="Times New Roman" w:hAnsi="Times New Roman"/>
                <w:sz w:val="24"/>
                <w:szCs w:val="24"/>
                <w:lang w:eastAsia="zh-CN"/>
              </w:rPr>
              <w:t>C</w:t>
            </w:r>
            <w:bookmarkEnd w:id="1"/>
            <w:r>
              <w:rPr>
                <w:rFonts w:eastAsia="MS Mincho" w:cs="Times New Roman" w:ascii="Times New Roman" w:hAnsi="Times New Roman"/>
                <w:sz w:val="24"/>
                <w:szCs w:val="24"/>
                <w:lang w:eastAsia="zh-CN"/>
              </w:rPr>
              <w:t>amila Dias e Santos</w:t>
            </w:r>
            <w:r>
              <w:rPr>
                <w:rFonts w:cs="Times New Roman" w:ascii="Times New Roman" w:hAnsi="Times New Roman"/>
              </w:rPr>
              <w:t xml:space="preserve"> (</w:t>
            </w:r>
            <w:r>
              <w:rPr>
                <w:rFonts w:eastAsia="MS Mincho" w:cs="Times New Roman" w:ascii="Times New Roman" w:hAnsi="Times New Roman"/>
                <w:sz w:val="24"/>
                <w:szCs w:val="24"/>
                <w:lang w:eastAsia="zh-CN"/>
              </w:rPr>
              <w:t>suplente</w:t>
            </w:r>
            <w:r>
              <w:rPr>
                <w:rFonts w:cs="Times New Roman" w:ascii="Times New Roman" w:hAnsi="Times New Roman"/>
              </w:rPr>
              <w:t>)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Juliana Guimarães de Medeiros (titular)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  <w:tr>
        <w:trPr/>
        <w:tc>
          <w:tcPr>
            <w:tcW w:w="4244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Gabriel de Castro Xavier (suplente)</w:t>
            </w:r>
          </w:p>
        </w:tc>
        <w:tc>
          <w:tcPr>
            <w:tcW w:w="2193" w:type="dxa"/>
            <w:tcBorders>
              <w:left w:val="single" w:sz="2" w:space="0" w:color="000000"/>
              <w:bottom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-</w:t>
            </w:r>
          </w:p>
        </w:tc>
        <w:tc>
          <w:tcPr>
            <w:tcW w:w="230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snapToGrid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Favorável</w:t>
            </w:r>
          </w:p>
        </w:tc>
      </w:tr>
    </w:tbl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Web"/>
        <w:spacing w:before="0" w:after="0"/>
        <w:rPr/>
      </w:pPr>
      <w:r>
        <w:rPr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 w:val="false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>Assessor Jurídico e de Comissões</w:t>
      </w:r>
      <w:r>
        <w:br w:type="page"/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tbl>
      <w:tblPr>
        <w:tblW w:w="872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935"/>
        <w:gridCol w:w="6784"/>
      </w:tblGrid>
      <w:tr>
        <w:trPr/>
        <w:tc>
          <w:tcPr>
            <w:tcW w:w="1935" w:type="dxa"/>
            <w:tcBorders>
              <w:top w:val="single" w:sz="4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PROCESSO</w:t>
            </w:r>
          </w:p>
        </w:tc>
        <w:tc>
          <w:tcPr>
            <w:tcW w:w="67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1564509/2022</w:t>
            </w:r>
          </w:p>
        </w:tc>
      </w:tr>
      <w:tr>
        <w:trPr/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INTERESSADO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DIVERSOS</w:t>
            </w:r>
          </w:p>
        </w:tc>
      </w:tr>
      <w:tr>
        <w:trPr/>
        <w:tc>
          <w:tcPr>
            <w:tcW w:w="1935" w:type="dxa"/>
            <w:tcBorders>
              <w:top w:val="single" w:sz="6" w:space="0" w:color="000000"/>
              <w:bottom w:val="single" w:sz="6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ASSUNTO</w:t>
            </w:r>
          </w:p>
        </w:tc>
        <w:tc>
          <w:tcPr>
            <w:tcW w:w="6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 xml:space="preserve">REGISTROS DEFINITIVOS DE PROFISSIONAIS </w:t>
            </w:r>
          </w:p>
        </w:tc>
      </w:tr>
      <w:tr>
        <w:trPr/>
        <w:tc>
          <w:tcPr>
            <w:tcW w:w="871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color="auto" w:fill="EEECE1" w:val="clea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b/>
              </w:rPr>
              <w:t>DELIBERAÇÃO N.º 49/2022-CEEFP/GO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>A Comissão de Exercício Profissional, Ensino e Formação do CAU/GO, em sua reunião ordinária, realizada em 08/07/22, apreciando o processo nº 1564509/2022, que versa sobre registro definitivo dos profissionais que já possuem registro provisório e apresentaram diploma de graduação no Curso de Arquitetura e Urbanismo no mês de junho de 2022, e sobre solicitações de registro profissional com apresentação de certificado de conclusão de curso para registro provisório, que tiveram confirmação de veracidade pela IES até o dia 01/07/22;</w:t>
      </w:r>
    </w:p>
    <w:p>
      <w:pPr>
        <w:pStyle w:val="Normal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 xml:space="preserve">Considerando que os interessados apresentaram a documentação exigida nas citadas resoluções; </w:t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>
      <w:pPr>
        <w:pStyle w:val="Normal"/>
        <w:rPr>
          <w:rFonts w:ascii="Times New Roman" w:hAnsi="Times New Roman" w:cs="Times New Roman"/>
          <w:b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DELIBEROU: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1 – VOTO pela homologação dos pedidos de registro definitivo dos seguintes profissionais: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Nathalya Mizzy de Fatima Gomes Muniz Pacheco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Isabela Amaral Ferreira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Geovana de Jesus Marques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Leticia Justo de Sousa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Ariane Soares Silva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Felipe Leal de Castro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Rogério da Costa Martins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Suellem Teixeira Alves Souza Mariano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Acsa Mara Gomes da Silva Ferreira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Monalisa Correia Lima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Ludmilla Miranda de Carvalho Macedo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Beatriz Rodrigues Freitas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Douglas Henrique Bahia Azevedo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Cristina Cardoso Perillo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Isabela Guimaraes Andrade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Moreira de Souza e pela homologação dos registros provisórios abaixo, sendo que, assim que apresentados os diplomas, devem ter status alterado para “definitivo” pela Área Técnica: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Giovanna Alves Santos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Waryson Nogueira Porto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Vanessa Gomes Celestino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Thiago Afonso dos Santos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Grace Kelly do Nascimento Silva Santiago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Amanda Santana Pires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Nathalia Pereira Costa Nascimento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Kamilla Rayane Soares Quirino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Daniela Gonzaga Pinheiro de Azevedo Montezuma e devolvemos a Área Técnica para continuidade do processo.</w:t>
      </w:r>
    </w:p>
    <w:p>
      <w:pPr>
        <w:pStyle w:val="Normal"/>
        <w:widowControl/>
        <w:suppressAutoHyphens w:val="false"/>
        <w:ind w:left="709" w:hanging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Goiânia, 08 de julho de 2022.</w:t>
      </w:r>
    </w:p>
    <w:p>
      <w:pPr>
        <w:pStyle w:val="Normal"/>
        <w:spacing w:before="0"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Andrey Amador Machado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Coordenador da Comissão de Exercício, Ensino e Formação Profissional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eastAsia="MS Mincho" w:cs="Times New Roman" w:ascii="Times New Roman" w:hAnsi="Times New Roman"/>
          <w:color w:val="auto"/>
          <w:kern w:val="0"/>
          <w:sz w:val="22"/>
          <w:szCs w:val="22"/>
          <w:lang w:val="pt-BR" w:eastAsia="zh-CN" w:bidi="ar-SA"/>
        </w:rPr>
        <w:t>Camila Dias e Santos</w:t>
      </w:r>
      <w:r>
        <w:rPr>
          <w:rFonts w:cs="Times New Roman" w:ascii="Times New Roman" w:hAnsi="Times New Roman"/>
          <w:sz w:val="22"/>
          <w:szCs w:val="22"/>
        </w:rPr>
        <w:t xml:space="preserve">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Membro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Juliana Guimarães de Medeiros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Membro </w:t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Gabriel de Castro Xavier</w:t>
        <w:tab/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2" w:name="_Hlk505768900"/>
      <w:r>
        <w:rPr>
          <w:rFonts w:cs="Times New Roman" w:ascii="Times New Roman" w:hAnsi="Times New Roman"/>
          <w:sz w:val="22"/>
          <w:szCs w:val="22"/>
        </w:rPr>
        <w:t xml:space="preserve">Membro </w:t>
      </w:r>
      <w:bookmarkEnd w:id="2"/>
    </w:p>
    <w:p>
      <w:pPr>
        <w:pStyle w:val="Normal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Considerando a implantação de reuniões deliberativas virtuais, atesto a veracidade e a autenticidade das informações prestadas (art. 7, parágrafo único, da Deliberação Plenária Ad Referendum n. 07/2020-CAU/BR).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Guilherme Vieira Cipriano</w:t>
      </w:r>
    </w:p>
    <w:p>
      <w:pPr>
        <w:pStyle w:val="Normal"/>
        <w:spacing w:lineRule="auto" w:line="240"/>
        <w:jc w:val="center"/>
        <w:rPr>
          <w:rFonts w:ascii="Times New Roman" w:hAnsi="Times New Roman"/>
          <w:b w:val="false"/>
          <w:b w:val="false"/>
          <w:bCs w:val="false"/>
          <w:sz w:val="22"/>
          <w:szCs w:val="22"/>
        </w:rPr>
      </w:pPr>
      <w:r>
        <w:rPr>
          <w:rFonts w:ascii="Times New Roman" w:hAnsi="Times New Roman"/>
          <w:b w:val="false"/>
          <w:bCs w:val="false"/>
          <w:sz w:val="22"/>
          <w:szCs w:val="22"/>
        </w:rPr>
        <w:t>Assessor Jurídico e de Comissões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701" w:gutter="0" w:header="1701" w:top="1758" w:footer="0" w:bottom="1418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0" distT="0" distB="0" distL="114935" distR="114935" simplePos="0" locked="0" layoutInCell="0" allowOverlap="1" relativeHeight="7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0" b="0"/>
          <wp:wrapSquare wrapText="bothSides"/>
          <wp:docPr id="3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222" r="-27" b="-222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>
        <w:lang w:eastAsia="pt-BR"/>
      </w:rPr>
    </w:pPr>
    <w:r>
      <w:rPr>
        <w:lang w:eastAsia="pt-BR"/>
      </w:rPr>
      <w:drawing>
        <wp:anchor behindDoc="0" distT="0" distB="0" distL="114935" distR="114935" simplePos="0" locked="0" layoutInCell="0" allowOverlap="1" relativeHeight="7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0" b="0"/>
          <wp:wrapSquare wrapText="bothSides"/>
          <wp:docPr id="4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222" r="-27" b="-222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lang w:eastAsia="pt-BR"/>
      </w:rPr>
    </w:pPr>
    <w:r>
      <w:rPr>
        <w:lang w:eastAsia="pt-BR"/>
      </w:rPr>
      <w:drawing>
        <wp:anchor behindDoc="0" distT="0" distB="0" distL="114935" distR="114935" simplePos="0" locked="0" layoutInCell="0" allowOverlap="1" relativeHeight="13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0" b="0"/>
          <wp:wrapSquare wrapText="bothSides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60" r="-27" b="-160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>
        <w:lang w:eastAsia="pt-BR"/>
      </w:rPr>
    </w:pPr>
    <w:r>
      <w:rPr>
        <w:lang w:eastAsia="pt-BR"/>
      </w:rPr>
      <w:drawing>
        <wp:anchor behindDoc="0" distT="0" distB="0" distL="114935" distR="114935" simplePos="0" locked="0" layoutInCell="0" allowOverlap="1" relativeHeight="13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0" b="0"/>
          <wp:wrapSquare wrapText="bothSides"/>
          <wp:docPr id="2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7" t="-160" r="-27" b="-160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40"/>
  <w:displayBackgroundShape/>
  <w:embedSystem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22220"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val="pt-BR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6" w:customStyle="1">
    <w:name w:val="Fonte parág. padrão6"/>
    <w:qFormat/>
    <w:rPr/>
  </w:style>
  <w:style w:type="character" w:styleId="Fontepargpadro5" w:customStyle="1">
    <w:name w:val="Fonte parág. padrão5"/>
    <w:qFormat/>
    <w:rPr/>
  </w:style>
  <w:style w:type="character" w:styleId="WW8Num1z0" w:customStyle="1">
    <w:name w:val="WW8Num1z0"/>
    <w:qFormat/>
    <w:rPr>
      <w:rFonts w:cs="Arial"/>
    </w:rPr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AbsatzStandardschriftart" w:customStyle="1">
    <w:name w:val="Absatz-Standardschriftart"/>
    <w:qFormat/>
    <w:rPr/>
  </w:style>
  <w:style w:type="character" w:styleId="WWAbsatzStandardschriftart" w:customStyle="1">
    <w:name w:val="WW-Absatz-Standardschriftart"/>
    <w:qFormat/>
    <w:rPr/>
  </w:style>
  <w:style w:type="character" w:styleId="WWAbsatzStandardschriftart1" w:customStyle="1">
    <w:name w:val="WW-Absatz-Standardschriftart1"/>
    <w:qFormat/>
    <w:rPr/>
  </w:style>
  <w:style w:type="character" w:styleId="Fontepargpadro2" w:customStyle="1">
    <w:name w:val="Fonte parág. padrão2"/>
    <w:qFormat/>
    <w:rPr/>
  </w:style>
  <w:style w:type="character" w:styleId="WWAbsatzStandardschriftart11" w:customStyle="1">
    <w:name w:val="WW-Absatz-Standardschriftart11"/>
    <w:qFormat/>
    <w:rPr/>
  </w:style>
  <w:style w:type="character" w:styleId="WWAbsatzStandardschriftart111" w:customStyle="1">
    <w:name w:val="WW-Absatz-Standardschriftart111"/>
    <w:qFormat/>
    <w:rPr/>
  </w:style>
  <w:style w:type="character" w:styleId="WWAbsatzStandardschriftart1111" w:customStyle="1">
    <w:name w:val="WW-Absatz-Standardschriftart1111"/>
    <w:qFormat/>
    <w:rPr/>
  </w:style>
  <w:style w:type="character" w:styleId="WWAbsatzStandardschriftart11111" w:customStyle="1">
    <w:name w:val="WW-Absatz-Standardschriftart11111"/>
    <w:qFormat/>
    <w:rPr/>
  </w:style>
  <w:style w:type="character" w:styleId="WWAbsatzStandardschriftart111111" w:customStyle="1">
    <w:name w:val="WW-Absatz-Standardschriftart111111"/>
    <w:qFormat/>
    <w:rPr/>
  </w:style>
  <w:style w:type="character" w:styleId="WWAbsatzStandardschriftart1111111" w:customStyle="1">
    <w:name w:val="WW-Absatz-Standardschriftart1111111"/>
    <w:qFormat/>
    <w:rPr/>
  </w:style>
  <w:style w:type="character" w:styleId="WWAbsatzStandardschriftart11111111" w:customStyle="1">
    <w:name w:val="WW-Absatz-Standardschriftart11111111"/>
    <w:qFormat/>
    <w:rPr/>
  </w:style>
  <w:style w:type="character" w:styleId="WWAbsatzStandardschriftart111111111" w:customStyle="1">
    <w:name w:val="WW-Absatz-Standardschriftart111111111"/>
    <w:qFormat/>
    <w:rPr/>
  </w:style>
  <w:style w:type="character" w:styleId="WWAbsatzStandardschriftart1111111111" w:customStyle="1">
    <w:name w:val="WW-Absatz-Standardschriftart1111111111"/>
    <w:qFormat/>
    <w:rPr/>
  </w:style>
  <w:style w:type="character" w:styleId="WWAbsatzStandardschriftart11111111111" w:customStyle="1">
    <w:name w:val="WW-Absatz-Standardschriftart11111111111"/>
    <w:qFormat/>
    <w:rPr/>
  </w:style>
  <w:style w:type="character" w:styleId="WWAbsatzStandardschriftart111111111111" w:customStyle="1">
    <w:name w:val="WW-Absatz-Standardschriftart111111111111"/>
    <w:qFormat/>
    <w:rPr/>
  </w:style>
  <w:style w:type="character" w:styleId="WWAbsatzStandardschriftart1111111111111" w:customStyle="1">
    <w:name w:val="WW-Absatz-Standardschriftart1111111111111"/>
    <w:qFormat/>
    <w:rPr/>
  </w:style>
  <w:style w:type="character" w:styleId="WWAbsatzStandardschriftart11111111111111" w:customStyle="1">
    <w:name w:val="WW-Absatz-Standardschriftart11111111111111"/>
    <w:qFormat/>
    <w:rPr/>
  </w:style>
  <w:style w:type="character" w:styleId="WWAbsatzStandardschriftart111111111111111" w:customStyle="1">
    <w:name w:val="WW-Absatz-Standardschriftart111111111111111"/>
    <w:qFormat/>
    <w:rPr/>
  </w:style>
  <w:style w:type="character" w:styleId="WWAbsatzStandardschriftart1111111111111111" w:customStyle="1">
    <w:name w:val="WW-Absatz-Standardschriftart1111111111111111"/>
    <w:qFormat/>
    <w:rPr/>
  </w:style>
  <w:style w:type="character" w:styleId="WWAbsatzStandardschriftart11111111111111111" w:customStyle="1">
    <w:name w:val="WW-Absatz-Standardschriftart11111111111111111"/>
    <w:qFormat/>
    <w:rPr/>
  </w:style>
  <w:style w:type="character" w:styleId="Fontepargpadro1" w:customStyle="1">
    <w:name w:val="Fonte parág. padrão1"/>
    <w:qFormat/>
    <w:rPr/>
  </w:style>
  <w:style w:type="character" w:styleId="CabealhoChar" w:customStyle="1">
    <w:name w:val="Cabeçalho Char"/>
    <w:basedOn w:val="Fontepargpadro1"/>
    <w:qFormat/>
    <w:rPr/>
  </w:style>
  <w:style w:type="character" w:styleId="RodapChar" w:customStyle="1">
    <w:name w:val="Rodapé Char"/>
    <w:basedOn w:val="Fontepargpadro1"/>
    <w:qFormat/>
    <w:rPr/>
  </w:style>
  <w:style w:type="character" w:styleId="Strong">
    <w:name w:val="Strong"/>
    <w:uiPriority w:val="22"/>
    <w:qFormat/>
    <w:rPr>
      <w:rFonts w:cs="Times New Roman"/>
      <w:b/>
      <w:bCs/>
    </w:rPr>
  </w:style>
  <w:style w:type="character" w:styleId="LinkdaInternet">
    <w:name w:val="Link da Internet"/>
    <w:rPr>
      <w:color w:val="000080"/>
      <w:u w:val="single"/>
    </w:rPr>
  </w:style>
  <w:style w:type="character" w:styleId="TextodebaloChar" w:customStyle="1">
    <w:name w:val="Texto de balão Char"/>
    <w:qFormat/>
    <w:rPr>
      <w:rFonts w:ascii="Tahoma" w:hAnsi="Tahoma" w:eastAsia="MS Mincho" w:cs="Tahoma"/>
      <w:sz w:val="16"/>
      <w:szCs w:val="16"/>
      <w:lang w:eastAsia="zh-CN"/>
    </w:rPr>
  </w:style>
  <w:style w:type="character" w:styleId="Smbolosdenumerao" w:customStyle="1">
    <w:name w:val="Símbolos de numeração"/>
    <w:qFormat/>
    <w:rPr/>
  </w:style>
  <w:style w:type="character" w:styleId="CitaoChar" w:customStyle="1">
    <w:name w:val="Citação Char"/>
    <w:qFormat/>
    <w:rPr>
      <w:rFonts w:eastAsia="MS Mincho" w:cs="Cambria"/>
      <w:iCs/>
      <w:color w:val="000000"/>
      <w:szCs w:val="24"/>
      <w:lang w:eastAsia="zh-CN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0" w:after="120"/>
    </w:pPr>
    <w:rPr/>
  </w:style>
  <w:style w:type="paragraph" w:styleId="Lista">
    <w:name w:val="List"/>
    <w:basedOn w:val="Corpodo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6" w:customStyle="1">
    <w:name w:val="Título6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Ttulo5" w:customStyle="1">
    <w:name w:val="Título5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4" w:customStyle="1">
    <w:name w:val="Título4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tulo1" w:customStyle="1">
    <w:name w:val="Título1"/>
    <w:basedOn w:val="Normal"/>
    <w:next w:val="Corpodo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Rodap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 w:cs="Times New Roman"/>
    </w:rPr>
  </w:style>
  <w:style w:type="paragraph" w:styleId="NoSpacing">
    <w:name w:val="No Spacing"/>
    <w:qFormat/>
    <w:pPr>
      <w:widowControl w:val="false"/>
      <w:suppressAutoHyphens w:val="true"/>
      <w:bidi w:val="0"/>
      <w:spacing w:before="0" w:after="0"/>
      <w:jc w:val="left"/>
    </w:pPr>
    <w:rPr>
      <w:rFonts w:ascii="Cambria" w:hAnsi="Cambria" w:eastAsia="MS Mincho" w:cs="Cambria"/>
      <w:color w:val="auto"/>
      <w:kern w:val="0"/>
      <w:sz w:val="24"/>
      <w:szCs w:val="24"/>
      <w:lang w:val="pt-BR" w:eastAsia="zh-CN" w:bidi="ar-SA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Quote">
    <w:name w:val="Quote"/>
    <w:basedOn w:val="Normal"/>
    <w:next w:val="Normal"/>
    <w:qFormat/>
    <w:pPr>
      <w:ind w:left="2268" w:hanging="0"/>
      <w:jc w:val="both"/>
    </w:pPr>
    <w:rPr>
      <w:rFonts w:ascii="Times New Roman" w:hAnsi="Times New Roman" w:cs="Times New Roman"/>
      <w:iCs/>
      <w:color w:val="000000"/>
      <w:sz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LibreOffice/7.2.2.2$Windows_X86_64 LibreOffice_project/02b2acce88a210515b4a5bb2e46cbfb63fe97d56</Application>
  <AppVersion>15.0000</AppVersion>
  <Pages>6</Pages>
  <Words>998</Words>
  <Characters>6162</Characters>
  <CharactersWithSpaces>7043</CharactersWithSpaces>
  <Paragraphs>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2022-07-07T12:36:00Z</dcterms:created>
  <dc:creator>Paula Vianna</dc:creator>
  <dc:description/>
  <dc:language>pt-BR</dc:language>
  <cp:lastModifiedBy/>
  <cp:lastPrinted>2019-12-13T13:33:00Z</cp:lastPrinted>
  <dcterms:modified xsi:type="dcterms:W3CDTF">2022-07-18T13:40:35Z</dcterms:modified>
  <cp:revision>7</cp:revision>
  <dc:subject/>
  <dc:title>PORTARIA Nº 02/2012 CAU-GO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