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5C9D7A4E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</w:t>
            </w:r>
            <w:r w:rsidR="00E4453D">
              <w:rPr>
                <w:rFonts w:ascii="Times New Roman" w:hAnsi="Times New Roman" w:cs="Times New Roman"/>
                <w:iCs/>
                <w:lang w:eastAsia="pt-BR"/>
              </w:rPr>
              <w:t>a suspensão parcial de processos em trâmite na Comissão de Ética e Disciplina no âmbito do CAU/GO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4041094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E4453D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E4453D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E4453D">
              <w:rPr>
                <w:rFonts w:ascii="Times New Roman" w:eastAsia="Arial" w:hAnsi="Times New Roman" w:cs="Times New Roman"/>
                <w:b/>
                <w:sz w:val="22"/>
              </w:rPr>
              <w:t>MARÇO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0AD3882E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</w:t>
      </w:r>
      <w:r w:rsidR="00735820">
        <w:rPr>
          <w:rFonts w:ascii="Times New Roman" w:hAnsi="Times New Roman" w:cs="Times New Roman"/>
        </w:rPr>
        <w:t xml:space="preserve"> art. 91 e 150</w:t>
      </w:r>
      <w:r w:rsidRPr="00881D55">
        <w:rPr>
          <w:rFonts w:ascii="Times New Roman" w:hAnsi="Times New Roman" w:cs="Times New Roman"/>
        </w:rPr>
        <w:t xml:space="preserve">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94949" w14:textId="2C309BF0" w:rsidR="00C60DD1" w:rsidRPr="00735820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65054776"/>
      <w:r w:rsidRPr="00C60DD1">
        <w:rPr>
          <w:rFonts w:ascii="Times New Roman" w:hAnsi="Times New Roman" w:cs="Times New Roman"/>
          <w:b/>
        </w:rPr>
        <w:t>CONSIDERANDO</w:t>
      </w:r>
      <w:r w:rsidR="00E4453D">
        <w:rPr>
          <w:rFonts w:ascii="Times New Roman" w:hAnsi="Times New Roman" w:cs="Times New Roman"/>
          <w:b/>
        </w:rPr>
        <w:t xml:space="preserve"> </w:t>
      </w:r>
      <w:r w:rsidR="00E4453D" w:rsidRPr="00E4453D">
        <w:rPr>
          <w:rFonts w:ascii="Times New Roman" w:hAnsi="Times New Roman" w:cs="Times New Roman"/>
          <w:bCs/>
        </w:rPr>
        <w:t>a</w:t>
      </w:r>
      <w:r w:rsidRPr="00C60DD1">
        <w:rPr>
          <w:rFonts w:ascii="Times New Roman" w:hAnsi="Times New Roman" w:cs="Times New Roman"/>
          <w:b/>
        </w:rPr>
        <w:t xml:space="preserve"> </w:t>
      </w:r>
      <w:r w:rsidR="00E4453D" w:rsidRPr="00E4453D">
        <w:rPr>
          <w:rFonts w:ascii="Times New Roman" w:hAnsi="Times New Roman" w:cs="Times New Roman"/>
          <w:bCs/>
        </w:rPr>
        <w:t>Deliberação CED n. 03/2021do CAU/BR</w:t>
      </w:r>
      <w:r w:rsidR="00E4453D">
        <w:rPr>
          <w:rFonts w:ascii="Times New Roman" w:hAnsi="Times New Roman" w:cs="Times New Roman"/>
          <w:bCs/>
        </w:rPr>
        <w:t xml:space="preserve"> e o </w:t>
      </w:r>
      <w:r w:rsidR="00E4453D" w:rsidRPr="00E4453D">
        <w:rPr>
          <w:rFonts w:ascii="Times New Roman" w:hAnsi="Times New Roman" w:cs="Times New Roman"/>
          <w:bCs/>
        </w:rPr>
        <w:t>agravamento recente da pandemia</w:t>
      </w:r>
      <w:r w:rsidR="00E4453D">
        <w:rPr>
          <w:rFonts w:ascii="Times New Roman" w:hAnsi="Times New Roman" w:cs="Times New Roman"/>
          <w:bCs/>
        </w:rPr>
        <w:t>, que</w:t>
      </w:r>
      <w:r w:rsidR="00E4453D" w:rsidRPr="00E4453D">
        <w:rPr>
          <w:rFonts w:ascii="Times New Roman" w:hAnsi="Times New Roman" w:cs="Times New Roman"/>
          <w:bCs/>
        </w:rPr>
        <w:t xml:space="preserve"> provocou novos fechamentos, o que determinou expediente de teletrabalho e continuidade das reuniões em regime virtual</w:t>
      </w:r>
      <w:r w:rsidR="00443E01">
        <w:rPr>
          <w:rFonts w:ascii="Times New Roman" w:hAnsi="Times New Roman" w:cs="Times New Roman"/>
          <w:bCs/>
        </w:rPr>
        <w:t>;</w:t>
      </w:r>
    </w:p>
    <w:bookmarkEnd w:id="0"/>
    <w:p w14:paraId="648D29BE" w14:textId="77777777" w:rsidR="00C60DD1" w:rsidRPr="00C60DD1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166F06" w14:textId="035E3E58" w:rsidR="00443E01" w:rsidRPr="00735820" w:rsidRDefault="00443E01" w:rsidP="00443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>CONSIDERANDO</w:t>
      </w:r>
      <w:r w:rsidR="00E4453D" w:rsidRPr="00E4453D">
        <w:t xml:space="preserve"> </w:t>
      </w:r>
      <w:r w:rsidR="00E4453D" w:rsidRPr="00E4453D">
        <w:rPr>
          <w:rFonts w:ascii="Times New Roman" w:hAnsi="Times New Roman" w:cs="Times New Roman"/>
          <w:bCs/>
        </w:rPr>
        <w:t>que alguns processos possuem volume de páginas elevado e documentos cuja análise virtual não favorece uma melhor análise e discussão por parte dos Conselheiros e apoio técnico</w:t>
      </w:r>
      <w:r>
        <w:rPr>
          <w:rFonts w:ascii="Times New Roman" w:hAnsi="Times New Roman" w:cs="Times New Roman"/>
          <w:bCs/>
        </w:rPr>
        <w:t>;</w:t>
      </w:r>
    </w:p>
    <w:p w14:paraId="351CE9E9" w14:textId="67AE1471" w:rsidR="00601472" w:rsidRDefault="00601472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BC89042" w14:textId="6BF09339" w:rsidR="00C60DD1" w:rsidRPr="00C60DD1" w:rsidRDefault="00C60DD1" w:rsidP="00C60DD1">
      <w:pPr>
        <w:spacing w:after="120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Art. 1º. </w:t>
      </w:r>
      <w:r w:rsidRPr="00C60DD1">
        <w:rPr>
          <w:rFonts w:ascii="Times New Roman" w:hAnsi="Times New Roman" w:cs="Times New Roman"/>
          <w:bCs/>
        </w:rPr>
        <w:t>Aprovar</w:t>
      </w:r>
      <w:r>
        <w:rPr>
          <w:rFonts w:ascii="Times New Roman" w:hAnsi="Times New Roman" w:cs="Times New Roman"/>
          <w:bCs/>
        </w:rPr>
        <w:t xml:space="preserve"> </w:t>
      </w:r>
      <w:r w:rsidR="00443E01">
        <w:rPr>
          <w:rFonts w:ascii="Times New Roman" w:hAnsi="Times New Roman" w:cs="Times New Roman"/>
          <w:bCs/>
        </w:rPr>
        <w:t>a</w:t>
      </w:r>
      <w:r w:rsidR="00E4453D">
        <w:rPr>
          <w:rFonts w:ascii="Times New Roman" w:hAnsi="Times New Roman" w:cs="Times New Roman"/>
          <w:bCs/>
        </w:rPr>
        <w:t xml:space="preserve"> suspensão</w:t>
      </w:r>
      <w:r w:rsidR="00443E01">
        <w:rPr>
          <w:rFonts w:ascii="Times New Roman" w:hAnsi="Times New Roman" w:cs="Times New Roman"/>
          <w:bCs/>
        </w:rPr>
        <w:t xml:space="preserve"> </w:t>
      </w:r>
      <w:r w:rsidR="00E4453D">
        <w:rPr>
          <w:rFonts w:ascii="Times New Roman" w:hAnsi="Times New Roman" w:cs="Times New Roman"/>
          <w:bCs/>
        </w:rPr>
        <w:t>d</w:t>
      </w:r>
      <w:r w:rsidR="00E4453D" w:rsidRPr="00E4453D">
        <w:rPr>
          <w:rFonts w:ascii="Times New Roman" w:hAnsi="Times New Roman" w:cs="Times New Roman"/>
          <w:bCs/>
        </w:rPr>
        <w:t>os processos cujo volume ou tipo de documento torne inviável ou prejudique sua análise, enquanto não for possível ou viável sua análise física</w:t>
      </w:r>
      <w:r w:rsidR="00E4453D">
        <w:rPr>
          <w:rFonts w:ascii="Times New Roman" w:hAnsi="Times New Roman" w:cs="Times New Roman"/>
          <w:bCs/>
        </w:rPr>
        <w:t>, bem como permanecer suspensos os processos com</w:t>
      </w:r>
      <w:r w:rsidR="00E4453D" w:rsidRPr="00E4453D">
        <w:rPr>
          <w:rFonts w:ascii="Times New Roman" w:hAnsi="Times New Roman" w:cs="Times New Roman"/>
          <w:bCs/>
        </w:rPr>
        <w:t xml:space="preserve"> diligências de instrução, a exemplo de audiências, ou outra medida que demande ajuste presencial</w:t>
      </w:r>
      <w:r w:rsidR="00443E01">
        <w:rPr>
          <w:rFonts w:ascii="Times New Roman" w:hAnsi="Times New Roman" w:cs="Times New Roman"/>
          <w:bCs/>
        </w:rPr>
        <w:t xml:space="preserve">; </w:t>
      </w:r>
    </w:p>
    <w:p w14:paraId="6C3BCB6E" w14:textId="6D41011A" w:rsidR="00546586" w:rsidRPr="00881D55" w:rsidRDefault="00C60DD1" w:rsidP="00C60DD1">
      <w:pPr>
        <w:spacing w:after="120"/>
        <w:jc w:val="both"/>
        <w:rPr>
          <w:rFonts w:ascii="Times New Roman" w:hAnsi="Times New Roman" w:cs="Times New Roman"/>
        </w:rPr>
      </w:pPr>
      <w:r w:rsidRPr="00C60DD1">
        <w:rPr>
          <w:rFonts w:ascii="Times New Roman" w:hAnsi="Times New Roman" w:cs="Times New Roman"/>
          <w:b/>
        </w:rPr>
        <w:t xml:space="preserve">Art. 2º. </w:t>
      </w:r>
      <w:r w:rsidR="00546586" w:rsidRPr="00881D55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404BDFD" w:rsidR="00F852F2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E4453D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E4453D">
        <w:rPr>
          <w:rFonts w:ascii="Times New Roman" w:hAnsi="Times New Roman" w:cs="Times New Roman"/>
        </w:rPr>
        <w:t>março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6980EEB3" w14:textId="77777777" w:rsidR="00C60DD1" w:rsidRPr="00BC4E6E" w:rsidRDefault="00C60DD1" w:rsidP="0054658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250F16F9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E4453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2284FDC6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085119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11C1774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3DBCA225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3821A8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08A53997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459F08A8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11BF4B8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887E899" w:rsidR="00F609B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54D527EF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00F30071" w:rsidR="006771AA" w:rsidRDefault="00BF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53EC6B9A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E44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453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E44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3099AD1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E4453D">
              <w:rPr>
                <w:rFonts w:ascii="Times New Roman" w:hAnsi="Times New Roman" w:cs="Times New Roman"/>
                <w:bCs/>
              </w:rPr>
              <w:t>4</w:t>
            </w:r>
            <w:r w:rsidR="006771AA">
              <w:rPr>
                <w:rFonts w:ascii="Times New Roman" w:hAnsi="Times New Roman" w:cs="Times New Roman"/>
                <w:bCs/>
              </w:rPr>
              <w:t xml:space="preserve"> -</w:t>
            </w:r>
            <w:r w:rsidR="00E4453D">
              <w:rPr>
                <w:rFonts w:ascii="Times New Roman" w:hAnsi="Times New Roman" w:cs="Times New Roman"/>
                <w:bCs/>
              </w:rPr>
              <w:t xml:space="preserve"> </w:t>
            </w:r>
            <w:r w:rsidR="00E4453D" w:rsidRPr="00E4453D">
              <w:rPr>
                <w:rFonts w:ascii="Times New Roman" w:hAnsi="Times New Roman" w:cs="Times New Roman"/>
                <w:bCs/>
              </w:rPr>
              <w:t>Aprova a suspensão parcial de processos em trâmite na Comissão de Ética e Disciplina no âmbito do CAU/GO.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3FF4D130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F7CA4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     (      ) Não    (      ) Abstenções   (   ) Ausências   (</w:t>
            </w:r>
            <w:r w:rsidR="00BF7CA4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34FBA"/>
    <w:rsid w:val="00396548"/>
    <w:rsid w:val="003B34C6"/>
    <w:rsid w:val="003C0ECD"/>
    <w:rsid w:val="003C6C4B"/>
    <w:rsid w:val="003C734B"/>
    <w:rsid w:val="00443E01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07208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35820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8589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BF7CA4"/>
    <w:rsid w:val="00C312B9"/>
    <w:rsid w:val="00C403E9"/>
    <w:rsid w:val="00C422B0"/>
    <w:rsid w:val="00C60DD1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0B32"/>
    <w:rsid w:val="00E14A66"/>
    <w:rsid w:val="00E163E1"/>
    <w:rsid w:val="00E26D98"/>
    <w:rsid w:val="00E27651"/>
    <w:rsid w:val="00E35971"/>
    <w:rsid w:val="00E41AED"/>
    <w:rsid w:val="00E4453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6</cp:revision>
  <cp:lastPrinted>2020-04-24T19:34:00Z</cp:lastPrinted>
  <dcterms:created xsi:type="dcterms:W3CDTF">2021-02-24T13:13:00Z</dcterms:created>
  <dcterms:modified xsi:type="dcterms:W3CDTF">2021-03-31T20:18:00Z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