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after="0" w:line="240" w:lineRule="auto"/>
        <w:rPr>
          <w:rFonts w:ascii="Arial" w:hAnsi="Arial" w:cs="Arial"/>
          <w:b/>
          <w:color w:val="auto"/>
          <w:sz w:val="40"/>
          <w:szCs w:val="40"/>
          <w:highlight w:val="none"/>
        </w:rPr>
      </w:pPr>
      <w:r>
        <w:rPr>
          <w:rFonts w:ascii="Arial" w:hAnsi="Arial" w:cs="Arial"/>
          <w:b/>
          <w:color w:val="auto"/>
          <w:sz w:val="40"/>
          <w:szCs w:val="40"/>
          <w:highlight w:val="none"/>
        </w:rPr>
        <w:t>PROPOSTAS CAU/GO - gestão 2021-2023</w:t>
      </w:r>
    </w:p>
    <w:p>
      <w:pPr>
        <w:spacing w:after="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color w:val="auto"/>
          <w:sz w:val="32"/>
          <w:szCs w:val="32"/>
          <w:highlight w:val="none"/>
        </w:rPr>
      </w:pPr>
      <w:r>
        <w:rPr>
          <w:rFonts w:ascii="Arial" w:hAnsi="Arial" w:cs="Arial"/>
          <w:b/>
          <w:bCs/>
          <w:color w:val="auto"/>
          <w:sz w:val="32"/>
          <w:szCs w:val="32"/>
          <w:highlight w:val="none"/>
        </w:rPr>
        <w:t>+ ações nacionais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campanhas nacionais de fortalecimento do papel do arquiteto e urbanista junto à sociedade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atuação contra o Regime Diferenciado de Contratação (RDC);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mobilização pela exigência de projetos executivos para execução de obras públicas;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ações pela revisão e regionalização da tabela de honorários.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atuação participação na discussão de normas e leis que afetam a arquitetura e urbanismo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atuação pela redução dos impostos e taxas que incidem sobre os serviços profissionais.</w:t>
      </w:r>
    </w:p>
    <w:p>
      <w:pPr>
        <w:spacing w:before="120" w:after="120" w:line="240" w:lineRule="auto"/>
        <w:rPr>
          <w:rFonts w:ascii="Arial" w:hAnsi="Arial" w:cs="Arial"/>
          <w:b/>
          <w:bCs/>
          <w:color w:val="auto"/>
          <w:sz w:val="32"/>
          <w:szCs w:val="32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color w:val="auto"/>
          <w:sz w:val="32"/>
          <w:szCs w:val="32"/>
          <w:highlight w:val="none"/>
        </w:rPr>
      </w:pPr>
      <w:r>
        <w:rPr>
          <w:rFonts w:ascii="Arial" w:hAnsi="Arial" w:cs="Arial"/>
          <w:b/>
          <w:bCs/>
          <w:color w:val="auto"/>
          <w:sz w:val="32"/>
          <w:szCs w:val="32"/>
          <w:highlight w:val="none"/>
        </w:rPr>
        <w:t>+ eventos e patrocínios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eventos, programas de fomento e capacitação profissional:</w:t>
      </w:r>
    </w:p>
    <w:p>
      <w:pPr>
        <w:pStyle w:val="9"/>
        <w:numPr>
          <w:ilvl w:val="0"/>
          <w:numId w:val="1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palestras e seminários,</w:t>
      </w:r>
    </w:p>
    <w:p>
      <w:pPr>
        <w:pStyle w:val="9"/>
        <w:numPr>
          <w:ilvl w:val="0"/>
          <w:numId w:val="1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i/>
          <w:iCs/>
          <w:color w:val="auto"/>
          <w:highlight w:val="none"/>
        </w:rPr>
        <w:t>lives e webinários</w:t>
      </w:r>
      <w:r>
        <w:rPr>
          <w:rFonts w:ascii="Arial" w:hAnsi="Arial" w:cs="Arial"/>
          <w:color w:val="auto"/>
          <w:highlight w:val="none"/>
        </w:rPr>
        <w:t>,</w:t>
      </w:r>
    </w:p>
    <w:p>
      <w:pPr>
        <w:pStyle w:val="9"/>
        <w:numPr>
          <w:ilvl w:val="0"/>
          <w:numId w:val="1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aulas magnas,</w:t>
      </w:r>
    </w:p>
    <w:p>
      <w:pPr>
        <w:pStyle w:val="9"/>
        <w:numPr>
          <w:ilvl w:val="0"/>
          <w:numId w:val="1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 xml:space="preserve">cursos e </w:t>
      </w:r>
      <w:r>
        <w:rPr>
          <w:rFonts w:ascii="Arial" w:hAnsi="Arial" w:cs="Arial"/>
          <w:i/>
          <w:color w:val="auto"/>
          <w:highlight w:val="none"/>
        </w:rPr>
        <w:t>workshops</w:t>
      </w:r>
      <w:r>
        <w:rPr>
          <w:rFonts w:ascii="Arial" w:hAnsi="Arial" w:cs="Arial"/>
          <w:color w:val="auto"/>
          <w:highlight w:val="none"/>
        </w:rPr>
        <w:t>,</w:t>
      </w:r>
    </w:p>
    <w:p>
      <w:pPr>
        <w:pStyle w:val="9"/>
        <w:numPr>
          <w:ilvl w:val="0"/>
          <w:numId w:val="1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livros e publicações,</w:t>
      </w:r>
    </w:p>
    <w:p>
      <w:pPr>
        <w:pStyle w:val="9"/>
        <w:numPr>
          <w:ilvl w:val="0"/>
          <w:numId w:val="1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mostras de filmes.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acesso para todo o estado de Goiás;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oportunidades aos recém-formados.</w:t>
      </w:r>
    </w:p>
    <w:p>
      <w:pPr>
        <w:spacing w:before="120" w:after="120" w:line="240" w:lineRule="auto"/>
        <w:rPr>
          <w:rFonts w:ascii="Arial" w:hAnsi="Arial" w:cs="Arial"/>
          <w:b/>
          <w:bCs/>
          <w:color w:val="auto"/>
          <w:sz w:val="28"/>
          <w:szCs w:val="28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color w:val="auto"/>
          <w:sz w:val="32"/>
          <w:szCs w:val="32"/>
          <w:highlight w:val="none"/>
        </w:rPr>
      </w:pPr>
      <w:r>
        <w:rPr>
          <w:rFonts w:ascii="Arial" w:hAnsi="Arial" w:cs="Arial"/>
          <w:b/>
          <w:bCs/>
          <w:color w:val="auto"/>
          <w:sz w:val="32"/>
          <w:szCs w:val="32"/>
          <w:highlight w:val="none"/>
        </w:rPr>
        <w:t xml:space="preserve">+ parcerias, benefícios e apoio 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parceiras e ampliação das ações do CAU/GO junto a:</w:t>
      </w:r>
    </w:p>
    <w:p>
      <w:pPr>
        <w:pStyle w:val="9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universidades e instituições de ensino,</w:t>
      </w:r>
    </w:p>
    <w:p>
      <w:pPr>
        <w:pStyle w:val="9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SEBRAE e CAIXA,</w:t>
      </w:r>
    </w:p>
    <w:p>
      <w:pPr>
        <w:pStyle w:val="9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prefeituras e órgãos estaduais,</w:t>
      </w:r>
    </w:p>
    <w:p>
      <w:pPr>
        <w:pStyle w:val="9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ministérios públicos,</w:t>
      </w:r>
    </w:p>
    <w:p>
      <w:pPr>
        <w:pStyle w:val="9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associações de arquitetos e escritórios,</w:t>
      </w:r>
    </w:p>
    <w:p>
      <w:pPr>
        <w:pStyle w:val="9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bombeiros militares e vigilância sanitária,</w:t>
      </w:r>
    </w:p>
    <w:p>
      <w:pPr>
        <w:pStyle w:val="9"/>
        <w:numPr>
          <w:ilvl w:val="0"/>
          <w:numId w:val="2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outros conselhos profissionais.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programas de descontos e facilidades na aquisição de:</w:t>
      </w:r>
    </w:p>
    <w:p>
      <w:pPr>
        <w:pStyle w:val="9"/>
        <w:numPr>
          <w:ilvl w:val="0"/>
          <w:numId w:val="1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equipamentos e softwares,</w:t>
      </w:r>
    </w:p>
    <w:p>
      <w:pPr>
        <w:pStyle w:val="9"/>
        <w:numPr>
          <w:ilvl w:val="0"/>
          <w:numId w:val="1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planos de saúde, seguros, previdência e empréstimos,</w:t>
      </w:r>
    </w:p>
    <w:p>
      <w:pPr>
        <w:pStyle w:val="9"/>
        <w:numPr>
          <w:ilvl w:val="0"/>
          <w:numId w:val="1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normas técnicas,</w:t>
      </w:r>
    </w:p>
    <w:p>
      <w:pPr>
        <w:pStyle w:val="9"/>
        <w:numPr>
          <w:ilvl w:val="0"/>
          <w:numId w:val="1"/>
        </w:numPr>
        <w:spacing w:before="120" w:after="120" w:line="240" w:lineRule="auto"/>
        <w:ind w:left="567" w:hanging="210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produtos e serviços.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incentivo ao empreendedorismo;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orientação na realização de contratos e entendimento da legislação;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apoio na montagem e desenvolvimento de escritórios e empresas de arquitetura e urbanismo.</w:t>
      </w:r>
    </w:p>
    <w:p>
      <w:pPr>
        <w:spacing w:before="120" w:after="120" w:line="240" w:lineRule="auto"/>
        <w:rPr>
          <w:rFonts w:ascii="Arial" w:hAnsi="Arial" w:cs="Arial"/>
          <w:b/>
          <w:bCs/>
          <w:color w:val="auto"/>
          <w:sz w:val="28"/>
          <w:szCs w:val="28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color w:val="auto"/>
          <w:sz w:val="32"/>
          <w:szCs w:val="32"/>
          <w:highlight w:val="none"/>
        </w:rPr>
      </w:pPr>
      <w:r>
        <w:rPr>
          <w:rFonts w:ascii="Arial" w:hAnsi="Arial" w:cs="Arial"/>
          <w:b/>
          <w:bCs/>
          <w:color w:val="auto"/>
          <w:sz w:val="32"/>
          <w:szCs w:val="32"/>
          <w:highlight w:val="none"/>
        </w:rPr>
        <w:t>+ fiscalização e gestão urbana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combate ao exercício ilegal da profissão;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campanhas preventivas e orientação sobre a necessidade do responsável técnico;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ações conjuntas com outros conselhos profissionais, Ministério Público e órgãos goianos de fiscalização;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eastAsia="Times New Roman" w:cs="Arial"/>
          <w:color w:val="auto"/>
          <w:sz w:val="24"/>
          <w:szCs w:val="24"/>
          <w:highlight w:val="none"/>
          <w:lang w:eastAsia="pt-BR"/>
        </w:rPr>
        <w:t xml:space="preserve">+ orientação, participação nos processos de aprovação, revisão de planos diretores e </w:t>
      </w:r>
      <w:r>
        <w:rPr>
          <w:rFonts w:ascii="Arial" w:hAnsi="Arial" w:cs="Arial"/>
          <w:color w:val="auto"/>
          <w:sz w:val="24"/>
          <w:szCs w:val="24"/>
          <w:highlight w:val="none"/>
        </w:rPr>
        <w:t>nos conselhos municipais de política urbana e habitação;</w:t>
      </w:r>
    </w:p>
    <w:p>
      <w:pPr>
        <w:spacing w:before="120" w:after="120" w:line="240" w:lineRule="auto"/>
        <w:rPr>
          <w:rFonts w:ascii="Arial" w:hAnsi="Arial" w:eastAsia="Times New Roman" w:cs="Arial"/>
          <w:color w:val="auto"/>
          <w:sz w:val="24"/>
          <w:szCs w:val="24"/>
          <w:highlight w:val="none"/>
          <w:lang w:eastAsia="pt-BR"/>
        </w:rPr>
      </w:pPr>
      <w:r>
        <w:rPr>
          <w:rFonts w:ascii="Arial" w:hAnsi="Arial" w:eastAsia="Times New Roman" w:cs="Arial"/>
          <w:color w:val="auto"/>
          <w:sz w:val="24"/>
          <w:szCs w:val="24"/>
          <w:highlight w:val="none"/>
          <w:lang w:eastAsia="pt-BR"/>
        </w:rPr>
        <w:t>+ mobilização em favor da cidade, do planejamento e da gestão urbana;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monitoramento da aplicação da legislação urbanística pelo poder público;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arquitetos e urbanistas nas cidades goianas;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apoio na criação de núcleos técnicos de planejamento urbano nas prefeituras.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color w:val="auto"/>
          <w:sz w:val="32"/>
          <w:szCs w:val="32"/>
          <w:highlight w:val="none"/>
        </w:rPr>
      </w:pPr>
      <w:r>
        <w:rPr>
          <w:rFonts w:ascii="Arial" w:hAnsi="Arial" w:cs="Arial"/>
          <w:b/>
          <w:bCs/>
          <w:color w:val="auto"/>
          <w:sz w:val="32"/>
          <w:szCs w:val="32"/>
          <w:highlight w:val="none"/>
        </w:rPr>
        <w:t>+ valorização profissional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 xml:space="preserve">+ </w:t>
      </w:r>
      <w:r>
        <w:rPr>
          <w:rFonts w:ascii="Arial" w:hAnsi="Arial" w:cs="Arial"/>
          <w:color w:val="auto"/>
          <w:sz w:val="24"/>
          <w:szCs w:val="24"/>
          <w:highlight w:val="none"/>
        </w:rPr>
        <w:t xml:space="preserve">defesa do concurso público </w:t>
      </w:r>
      <w:r>
        <w:rPr>
          <w:rFonts w:ascii="Arial" w:hAnsi="Arial" w:cs="Arial"/>
          <w:color w:val="auto"/>
          <w:sz w:val="24"/>
          <w:szCs w:val="24"/>
          <w:highlight w:val="none"/>
        </w:rPr>
        <w:t>para licitação de projetos por órgãos públicos;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orientação sobre as diferentes áreas de atuação do arquiteto e urbanista;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fortalecimento do papel d</w:t>
      </w:r>
      <w:bookmarkStart w:id="0" w:name="_GoBack"/>
      <w:bookmarkEnd w:id="0"/>
      <w:r>
        <w:rPr>
          <w:rFonts w:ascii="Arial" w:hAnsi="Arial" w:cs="Arial"/>
          <w:color w:val="auto"/>
          <w:sz w:val="24"/>
          <w:szCs w:val="24"/>
          <w:highlight w:val="none"/>
        </w:rPr>
        <w:t>o arquiteto e urbanista como ator essencial para:</w:t>
      </w:r>
    </w:p>
    <w:p>
      <w:pPr>
        <w:pStyle w:val="9"/>
        <w:numPr>
          <w:ilvl w:val="0"/>
          <w:numId w:val="3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desenvolvimento das cidades,</w:t>
      </w:r>
    </w:p>
    <w:p>
      <w:pPr>
        <w:pStyle w:val="9"/>
        <w:numPr>
          <w:ilvl w:val="0"/>
          <w:numId w:val="3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concepção e execução de edifícios,</w:t>
      </w:r>
    </w:p>
    <w:p>
      <w:pPr>
        <w:pStyle w:val="9"/>
        <w:numPr>
          <w:ilvl w:val="0"/>
          <w:numId w:val="3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planejamento e implementação de espaços públicos.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mobilização por vagas para arquitetos, no setor privado e no público;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atuação na garantia do salário mínimo profissional;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mobilização pela inclusão de arquitetos e urbanistas como Carreira de Estado;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ações para a consolidação de atividades privativas dos arquitetos.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color w:val="auto"/>
          <w:sz w:val="32"/>
          <w:szCs w:val="32"/>
          <w:highlight w:val="none"/>
        </w:rPr>
      </w:pPr>
      <w:r>
        <w:rPr>
          <w:rFonts w:ascii="Arial" w:hAnsi="Arial" w:cs="Arial"/>
          <w:b/>
          <w:bCs/>
          <w:color w:val="auto"/>
          <w:sz w:val="32"/>
          <w:szCs w:val="32"/>
          <w:highlight w:val="none"/>
        </w:rPr>
        <w:t>+ comunicação e integração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 xml:space="preserve">+ divulgação por meio das redes sociais, rádio e </w:t>
      </w:r>
      <w:r>
        <w:rPr>
          <w:rFonts w:ascii="Arial" w:hAnsi="Arial" w:cs="Arial"/>
          <w:i/>
          <w:color w:val="auto"/>
          <w:sz w:val="24"/>
          <w:szCs w:val="24"/>
          <w:highlight w:val="none"/>
        </w:rPr>
        <w:t xml:space="preserve">newsletter </w:t>
      </w:r>
      <w:r>
        <w:rPr>
          <w:rFonts w:ascii="Arial" w:hAnsi="Arial" w:cs="Arial"/>
          <w:color w:val="auto"/>
          <w:sz w:val="24"/>
          <w:szCs w:val="24"/>
          <w:highlight w:val="none"/>
        </w:rPr>
        <w:t>de:</w:t>
      </w:r>
    </w:p>
    <w:p>
      <w:pPr>
        <w:pStyle w:val="9"/>
        <w:numPr>
          <w:ilvl w:val="0"/>
          <w:numId w:val="4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i/>
          <w:color w:val="auto"/>
          <w:highlight w:val="none"/>
        </w:rPr>
        <w:t>clipping,</w:t>
      </w:r>
    </w:p>
    <w:p>
      <w:pPr>
        <w:pStyle w:val="9"/>
        <w:numPr>
          <w:ilvl w:val="0"/>
          <w:numId w:val="4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eventos e cursos,</w:t>
      </w:r>
    </w:p>
    <w:p>
      <w:pPr>
        <w:pStyle w:val="9"/>
        <w:numPr>
          <w:ilvl w:val="0"/>
          <w:numId w:val="4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oportunidades de negócios,</w:t>
      </w:r>
    </w:p>
    <w:p>
      <w:pPr>
        <w:pStyle w:val="9"/>
        <w:numPr>
          <w:ilvl w:val="0"/>
          <w:numId w:val="4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exposições e concursos.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campanhas para sociedade sobre o papel do arquiteto e urbanista;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campanhas para acompanhamento dos resultados e despesas do CAU;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 xml:space="preserve">+ ações junto aos profissionais com: </w:t>
      </w:r>
    </w:p>
    <w:p>
      <w:pPr>
        <w:pStyle w:val="9"/>
        <w:numPr>
          <w:ilvl w:val="0"/>
          <w:numId w:val="5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pesquisas de demandas,</w:t>
      </w:r>
    </w:p>
    <w:p>
      <w:pPr>
        <w:pStyle w:val="9"/>
        <w:numPr>
          <w:ilvl w:val="0"/>
          <w:numId w:val="5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prioridades de atuação,</w:t>
      </w:r>
    </w:p>
    <w:p>
      <w:pPr>
        <w:pStyle w:val="9"/>
        <w:numPr>
          <w:ilvl w:val="0"/>
          <w:numId w:val="5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realização de debates,</w:t>
      </w:r>
    </w:p>
    <w:p>
      <w:pPr>
        <w:pStyle w:val="9"/>
        <w:numPr>
          <w:ilvl w:val="0"/>
          <w:numId w:val="5"/>
        </w:numPr>
        <w:spacing w:before="120" w:after="120" w:line="240" w:lineRule="auto"/>
        <w:ind w:left="567" w:hanging="215"/>
        <w:contextualSpacing w:val="0"/>
        <w:rPr>
          <w:rFonts w:ascii="Arial" w:hAnsi="Arial" w:cs="Arial"/>
          <w:color w:val="auto"/>
          <w:highlight w:val="none"/>
        </w:rPr>
      </w:pPr>
      <w:r>
        <w:rPr>
          <w:rFonts w:ascii="Arial" w:hAnsi="Arial" w:cs="Arial"/>
          <w:color w:val="auto"/>
          <w:highlight w:val="none"/>
        </w:rPr>
        <w:t>criação de câmaras temáticas.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oportunidades de ouvir os profissionais.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color w:val="auto"/>
          <w:sz w:val="32"/>
          <w:szCs w:val="32"/>
          <w:highlight w:val="none"/>
        </w:rPr>
      </w:pPr>
      <w:r>
        <w:rPr>
          <w:rFonts w:ascii="Arial" w:hAnsi="Arial" w:cs="Arial"/>
          <w:b/>
          <w:bCs/>
          <w:color w:val="auto"/>
          <w:sz w:val="32"/>
          <w:szCs w:val="32"/>
          <w:highlight w:val="none"/>
        </w:rPr>
        <w:t xml:space="preserve">+ arquitetura social 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eventos e orientações sobre formas de instalação da Assistência Técnica para Habitação de Interesse Social (ATHIS);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ações de patrocínio aos projetos de habitação de interesse social;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orientações sobre a forma e as oportunidades de atuação do arquiteto junto à população carente;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concursos para projetos de interesse social;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apoio na montagem de gabinetes de assistência técnica;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fortalecimento do papel do arquiteto na produção da habitação de interesse social.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</w:p>
    <w:p>
      <w:pPr>
        <w:spacing w:before="120" w:after="120" w:line="240" w:lineRule="auto"/>
        <w:rPr>
          <w:rFonts w:ascii="Arial" w:hAnsi="Arial" w:cs="Arial"/>
          <w:b/>
          <w:bCs/>
          <w:color w:val="auto"/>
          <w:sz w:val="32"/>
          <w:szCs w:val="32"/>
          <w:highlight w:val="none"/>
        </w:rPr>
      </w:pPr>
      <w:r>
        <w:rPr>
          <w:rFonts w:ascii="Arial" w:hAnsi="Arial" w:cs="Arial"/>
          <w:b/>
          <w:bCs/>
          <w:color w:val="auto"/>
          <w:sz w:val="32"/>
          <w:szCs w:val="32"/>
          <w:highlight w:val="none"/>
        </w:rPr>
        <w:t xml:space="preserve">+ CAU além da capital 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apoio aos profissionais que atuam no interior do estado;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atuação junto às prefeituras para inserção do profissional na gestão das cidades;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apoio técnico para a melhoria das normas municipais de aprovação de projetos;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inserção dos arquitetos nos conselhos municipais;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 xml:space="preserve">+ eventos virtuais para além da capital goiana; 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  <w:r>
        <w:rPr>
          <w:rFonts w:ascii="Arial" w:hAnsi="Arial" w:cs="Arial"/>
          <w:color w:val="auto"/>
          <w:sz w:val="24"/>
          <w:szCs w:val="24"/>
          <w:highlight w:val="none"/>
        </w:rPr>
        <w:t>+ apoio a associações e grupos de arquitetos e urbanistas no interior.</w:t>
      </w:r>
    </w:p>
    <w:p>
      <w:pPr>
        <w:spacing w:before="120" w:after="120" w:line="240" w:lineRule="auto"/>
        <w:rPr>
          <w:rFonts w:ascii="Arial" w:hAnsi="Arial" w:cs="Arial"/>
          <w:color w:val="auto"/>
          <w:sz w:val="24"/>
          <w:szCs w:val="24"/>
          <w:highlight w:val="none"/>
        </w:rPr>
      </w:pPr>
    </w:p>
    <w:sectPr>
      <w:pgSz w:w="11906" w:h="16838"/>
      <w:pgMar w:top="1418" w:right="1418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574120"/>
    <w:multiLevelType w:val="multilevel"/>
    <w:tmpl w:val="0B574120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">
    <w:nsid w:val="1F886B51"/>
    <w:multiLevelType w:val="multilevel"/>
    <w:tmpl w:val="1F886B51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2">
    <w:nsid w:val="423E02A7"/>
    <w:multiLevelType w:val="multilevel"/>
    <w:tmpl w:val="423E02A7"/>
    <w:lvl w:ilvl="0" w:tentative="0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>
    <w:nsid w:val="5D9450F7"/>
    <w:multiLevelType w:val="multilevel"/>
    <w:tmpl w:val="5D9450F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1C04A1C"/>
    <w:multiLevelType w:val="multilevel"/>
    <w:tmpl w:val="61C04A1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AD"/>
    <w:rsid w:val="00006D17"/>
    <w:rsid w:val="00023BF0"/>
    <w:rsid w:val="00030EE0"/>
    <w:rsid w:val="000409F0"/>
    <w:rsid w:val="000B39FD"/>
    <w:rsid w:val="000C17BE"/>
    <w:rsid w:val="0015345B"/>
    <w:rsid w:val="0017787A"/>
    <w:rsid w:val="00231227"/>
    <w:rsid w:val="00232077"/>
    <w:rsid w:val="00267D01"/>
    <w:rsid w:val="002702CA"/>
    <w:rsid w:val="0029650A"/>
    <w:rsid w:val="002A0E13"/>
    <w:rsid w:val="002B26F9"/>
    <w:rsid w:val="002C1A22"/>
    <w:rsid w:val="002E048C"/>
    <w:rsid w:val="003261B4"/>
    <w:rsid w:val="0033358B"/>
    <w:rsid w:val="003432E0"/>
    <w:rsid w:val="00372399"/>
    <w:rsid w:val="0037316E"/>
    <w:rsid w:val="00391277"/>
    <w:rsid w:val="003B1C99"/>
    <w:rsid w:val="003B3F3D"/>
    <w:rsid w:val="003F22A0"/>
    <w:rsid w:val="00425D5F"/>
    <w:rsid w:val="004667B5"/>
    <w:rsid w:val="0049078E"/>
    <w:rsid w:val="004909BE"/>
    <w:rsid w:val="004C22CE"/>
    <w:rsid w:val="004D5C78"/>
    <w:rsid w:val="00517549"/>
    <w:rsid w:val="005224EC"/>
    <w:rsid w:val="005526C0"/>
    <w:rsid w:val="005B28A6"/>
    <w:rsid w:val="00607A14"/>
    <w:rsid w:val="00644C27"/>
    <w:rsid w:val="006630E6"/>
    <w:rsid w:val="006A2764"/>
    <w:rsid w:val="006C0FB8"/>
    <w:rsid w:val="006E0F54"/>
    <w:rsid w:val="006E3B71"/>
    <w:rsid w:val="007147E6"/>
    <w:rsid w:val="00742CDF"/>
    <w:rsid w:val="00765A9E"/>
    <w:rsid w:val="007C3481"/>
    <w:rsid w:val="007D08B4"/>
    <w:rsid w:val="007E171C"/>
    <w:rsid w:val="007F34F9"/>
    <w:rsid w:val="00833949"/>
    <w:rsid w:val="00843547"/>
    <w:rsid w:val="00872DA9"/>
    <w:rsid w:val="008C528A"/>
    <w:rsid w:val="008F7BB5"/>
    <w:rsid w:val="0091262F"/>
    <w:rsid w:val="00920295"/>
    <w:rsid w:val="00944544"/>
    <w:rsid w:val="00947190"/>
    <w:rsid w:val="00952B4B"/>
    <w:rsid w:val="00956E2E"/>
    <w:rsid w:val="009E40FB"/>
    <w:rsid w:val="009F72BD"/>
    <w:rsid w:val="00A06A23"/>
    <w:rsid w:val="00A50A8D"/>
    <w:rsid w:val="00AE1643"/>
    <w:rsid w:val="00AF2584"/>
    <w:rsid w:val="00B05FC1"/>
    <w:rsid w:val="00B13B73"/>
    <w:rsid w:val="00B41AA5"/>
    <w:rsid w:val="00B43C52"/>
    <w:rsid w:val="00B63FFE"/>
    <w:rsid w:val="00BC6657"/>
    <w:rsid w:val="00C27B71"/>
    <w:rsid w:val="00C50C95"/>
    <w:rsid w:val="00C93AF0"/>
    <w:rsid w:val="00CA006F"/>
    <w:rsid w:val="00CA36AD"/>
    <w:rsid w:val="00CC407B"/>
    <w:rsid w:val="00CD26E8"/>
    <w:rsid w:val="00CF23D9"/>
    <w:rsid w:val="00D03224"/>
    <w:rsid w:val="00D364E5"/>
    <w:rsid w:val="00D46FE5"/>
    <w:rsid w:val="00DA7285"/>
    <w:rsid w:val="00DB1C55"/>
    <w:rsid w:val="00DC37BC"/>
    <w:rsid w:val="00DE482F"/>
    <w:rsid w:val="00DE6C1B"/>
    <w:rsid w:val="00DF41A7"/>
    <w:rsid w:val="00E67DF8"/>
    <w:rsid w:val="00EA00BD"/>
    <w:rsid w:val="00F2637C"/>
    <w:rsid w:val="00F30487"/>
    <w:rsid w:val="00F3344D"/>
    <w:rsid w:val="00F37F05"/>
    <w:rsid w:val="00F41A9B"/>
    <w:rsid w:val="00F54112"/>
    <w:rsid w:val="00F56F2F"/>
    <w:rsid w:val="00F82B9A"/>
    <w:rsid w:val="00F96C38"/>
    <w:rsid w:val="00FB07DA"/>
    <w:rsid w:val="00FD1D11"/>
    <w:rsid w:val="00FD36E3"/>
    <w:rsid w:val="00FE4930"/>
    <w:rsid w:val="3FB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7">
    <w:name w:val="Cabeçalho Char"/>
    <w:basedOn w:val="2"/>
    <w:link w:val="6"/>
    <w:uiPriority w:val="99"/>
  </w:style>
  <w:style w:type="character" w:customStyle="1" w:styleId="8">
    <w:name w:val="Rodapé Char"/>
    <w:basedOn w:val="2"/>
    <w:link w:val="5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exto de balão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660</Words>
  <Characters>3565</Characters>
  <Lines>29</Lines>
  <Paragraphs>8</Paragraphs>
  <TotalTime>83</TotalTime>
  <ScaleCrop>false</ScaleCrop>
  <LinksUpToDate>false</LinksUpToDate>
  <CharactersWithSpaces>4217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2021-01-04T11:17:00Z</dcterms:created>
  <dc:creator>Isabel Barêa Pastore</dc:creator>
  <cp:lastModifiedBy>eafra</cp:lastModifiedBy>
  <cp:lastPrinted>2020-07-26T17:29:00Z</cp:lastPrinted>
  <dcterms:modified xsi:type="dcterms:W3CDTF">2021-02-03T22:36:02Z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