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7"/>
        <w:gridCol w:w="6784"/>
      </w:tblGrid>
      <w:tr>
        <w:trPr>
          <w:trHeight w:val="277" w:hRule="atLeast"/>
        </w:trPr>
        <w:tc>
          <w:tcPr>
            <w:tcW w:w="1937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67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57" w:lineRule="exact" w:before="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1115059/2020</w:t>
            </w:r>
          </w:p>
        </w:tc>
      </w:tr>
      <w:tr>
        <w:trPr>
          <w:trHeight w:val="280" w:hRule="atLeast"/>
        </w:trPr>
        <w:tc>
          <w:tcPr>
            <w:tcW w:w="1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INTERESSADO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937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ASSUNTO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76" w:lineRule="exact" w:before="2"/>
              <w:ind w:left="100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PORTARIA NORMATIVA N° 77, DE 8 DE MAIO DE 2020 do CAU/BR</w:t>
            </w:r>
          </w:p>
        </w:tc>
      </w:tr>
    </w:tbl>
    <w:p>
      <w:pPr>
        <w:pStyle w:val="BodyText"/>
        <w:spacing w:before="7"/>
        <w:rPr>
          <w:sz w:val="20"/>
        </w:rPr>
      </w:pPr>
      <w:r>
        <w:rPr/>
        <w:pict>
          <v:group style="position:absolute;margin-left:78.984001pt;margin-top:13.8pt;width:436.75pt;height:14.9pt;mso-position-horizontal-relative:page;mso-position-vertical-relative:paragraph;z-index:-15728128;mso-wrap-distance-left:0;mso-wrap-distance-right:0" coordorigin="1580,276" coordsize="8735,298">
            <v:rect style="position:absolute;left:1594;top:288;width:8721;height:276" filled="true" fillcolor="#edebe0" stroked="false">
              <v:fill type="solid"/>
            </v:rect>
            <v:shape style="position:absolute;left:1579;top:276;width:8735;height:298" coordorigin="1580,276" coordsize="8735,298" path="m10315,276l1594,276,1594,286,10315,286,10315,276xm10315,564l1580,564,1580,574,10315,574,10315,564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79;top:285;width:8735;height:279" type="#_x0000_t202" filled="false" stroked="false">
              <v:textbox inset="0,0,0,0">
                <w:txbxContent>
                  <w:p>
                    <w:pPr>
                      <w:spacing w:before="1"/>
                      <w:ind w:left="2038" w:right="2029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TERMO DE DESIGNAÇÃO DE RELATOR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90"/>
        <w:ind w:right="240" w:firstLine="719"/>
        <w:jc w:val="both"/>
      </w:pPr>
      <w:r>
        <w:rPr/>
        <w:t>O Coordenador da Comissão de Exercício Profissional, Ensino e Formação do Conselho de Arquitetura e Urbanismo de Goiás, designa o (a) Conselheiro (a) Frederico André Rabelo relator (a) do presente processo.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31"/>
        <w:ind w:left="5967" w:right="0" w:firstLine="0"/>
        <w:jc w:val="left"/>
        <w:rPr>
          <w:sz w:val="24"/>
        </w:rPr>
      </w:pPr>
      <w:r>
        <w:rPr>
          <w:sz w:val="24"/>
        </w:rPr>
        <w:t>Goiânia, 08 e junho de 2020.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186.619995pt;margin-top:8.844283pt;width:222pt;height:.1pt;mso-position-horizontal-relative:page;mso-position-vertical-relative:paragraph;z-index:-15727616;mso-wrap-distance-left:0;mso-wrap-distance-right:0" coordorigin="3732,177" coordsize="4440,0" path="m3732,177l8172,17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1"/>
        </w:rPr>
        <w:sectPr>
          <w:headerReference w:type="default" r:id="rId5"/>
          <w:footerReference w:type="default" r:id="rId6"/>
          <w:type w:val="continuous"/>
          <w:pgSz w:w="11910" w:h="16840"/>
          <w:pgMar w:header="495" w:footer="1106" w:top="1880" w:bottom="1300" w:left="1460" w:right="1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7"/>
        <w:gridCol w:w="6784"/>
      </w:tblGrid>
      <w:tr>
        <w:trPr>
          <w:trHeight w:val="275" w:hRule="atLeast"/>
        </w:trPr>
        <w:tc>
          <w:tcPr>
            <w:tcW w:w="1937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67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5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1115059/2020</w:t>
            </w:r>
          </w:p>
        </w:tc>
      </w:tr>
      <w:tr>
        <w:trPr>
          <w:trHeight w:val="282" w:hRule="atLeast"/>
        </w:trPr>
        <w:tc>
          <w:tcPr>
            <w:tcW w:w="1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261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INTERESSADO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ASSUNTO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76" w:lineRule="exact" w:before="2"/>
              <w:ind w:left="100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PORTARIA NORMATIVA N° 77, DE 8 DE MAIO DE 2020 do CAU/BR</w:t>
            </w:r>
          </w:p>
        </w:tc>
      </w:tr>
      <w:tr>
        <w:trPr>
          <w:trHeight w:val="315" w:hRule="atLeast"/>
        </w:trPr>
        <w:tc>
          <w:tcPr>
            <w:tcW w:w="1937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72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08 DE JUNHO DE 2020</w:t>
            </w:r>
          </w:p>
        </w:tc>
      </w:tr>
    </w:tbl>
    <w:p>
      <w:pPr>
        <w:pStyle w:val="BodyText"/>
        <w:spacing w:before="7"/>
        <w:rPr>
          <w:sz w:val="20"/>
        </w:rPr>
      </w:pPr>
      <w:r>
        <w:rPr/>
        <w:pict>
          <v:group style="position:absolute;margin-left:78.984001pt;margin-top:13.79999pt;width:436.75pt;height:14.8pt;mso-position-horizontal-relative:page;mso-position-vertical-relative:paragraph;z-index:-15726592;mso-wrap-distance-left:0;mso-wrap-distance-right:0" coordorigin="1580,276" coordsize="8735,296">
            <v:rect style="position:absolute;left:1594;top:285;width:8721;height:276" filled="true" fillcolor="#edebe0" stroked="false">
              <v:fill type="solid"/>
            </v:rect>
            <v:shape style="position:absolute;left:1579;top:276;width:8735;height:296" coordorigin="1580,276" coordsize="8735,296" path="m10315,276l1594,276,1594,286,10315,286,10315,276xm10315,562l1580,562,1580,571,10315,571,10315,562xe" filled="true" fillcolor="#000000" stroked="false">
              <v:path arrowok="t"/>
              <v:fill type="solid"/>
            </v:shape>
            <v:shape style="position:absolute;left:1579;top:285;width:8735;height:27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2038" w:right="2026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RELATÓRIO E VOTO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76" w:lineRule="auto" w:before="1"/>
        <w:ind w:left="242" w:right="236" w:firstLine="719"/>
        <w:jc w:val="both"/>
      </w:pPr>
      <w:r>
        <w:rPr/>
        <w:t>Considerando a solicitação da Gerência Técnica do CAU/GO para análise e parecer sobre procedimento para cumprir o objetivo de sanear o banco de dados do SICCAU solicitados pela PORTARIA NORMATIVA N° 77, DE 8 DE MAIO DE 2020 do CAU/BR;</w:t>
      </w:r>
    </w:p>
    <w:p>
      <w:pPr>
        <w:pStyle w:val="BodyText"/>
        <w:spacing w:line="276" w:lineRule="auto"/>
        <w:ind w:left="242" w:right="237" w:firstLine="719"/>
        <w:jc w:val="both"/>
      </w:pPr>
      <w:r>
        <w:rPr/>
        <w:t>Considerando que em 8 de maio de 2020, o CAU/BR emitiu a Portaria Normativa n 77 que define os procedimentos para fins de saneamento do banco de dados dos Conselhos de Arquitetura e Urbanismo dos Estados e do Distrito Federal (CAU/UF), no Sistema de Informação e Comunicação dos Conselhos de Arquitetura e Urbanismo (SICCAU), dos registros dos arquitetos e urbanistas que tenham migrado dos então Conselhos Regionais de Engenharia, Arquitetura e Agronomia (CREA) para os CAU/UF na forma do art. 55 da Lei n° 12.378, de 31 de dezembro de 2020, e que, estando na situação de “ativos”, incorrerem nas seguintes</w:t>
      </w:r>
      <w:r>
        <w:rPr>
          <w:spacing w:val="-1"/>
        </w:rPr>
        <w:t> </w:t>
      </w:r>
      <w:r>
        <w:rPr/>
        <w:t>situações:</w:t>
      </w:r>
    </w:p>
    <w:p>
      <w:pPr>
        <w:pStyle w:val="ListParagraph"/>
        <w:numPr>
          <w:ilvl w:val="0"/>
          <w:numId w:val="1"/>
        </w:numPr>
        <w:tabs>
          <w:tab w:pos="1812" w:val="left" w:leader="none"/>
        </w:tabs>
        <w:spacing w:line="276" w:lineRule="auto" w:before="0" w:after="0"/>
        <w:ind w:left="1682" w:right="239" w:firstLine="0"/>
        <w:jc w:val="both"/>
        <w:rPr>
          <w:sz w:val="22"/>
        </w:rPr>
      </w:pPr>
      <w:r>
        <w:rPr>
          <w:sz w:val="22"/>
        </w:rPr>
        <w:t>- Não tenham realizado o recadastramento nem a atualização cadastral desde a migração, nem tenham entrado em contato ou solicitado atendimento aos Conselhos de Arquitetura e Urbanismo (CAU/BR e CAU/UF);</w:t>
      </w:r>
      <w:r>
        <w:rPr>
          <w:spacing w:val="-9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1"/>
        </w:numPr>
        <w:tabs>
          <w:tab w:pos="1901" w:val="left" w:leader="none"/>
        </w:tabs>
        <w:spacing w:line="276" w:lineRule="auto" w:before="0" w:after="0"/>
        <w:ind w:left="1682" w:right="233" w:firstLine="0"/>
        <w:jc w:val="both"/>
        <w:rPr>
          <w:sz w:val="22"/>
        </w:rPr>
      </w:pPr>
      <w:r>
        <w:rPr>
          <w:sz w:val="22"/>
        </w:rPr>
        <w:t>- Não tenham realizado qualquer acesso ao SICCAU desde a migração nem emitido boletos de arrecadação referentes às anuidades, à emissão de carteira de identidade profissional ou a Registro de Responsabilidade Técnica (RRT), nem realizado pagamento de</w:t>
      </w:r>
      <w:r>
        <w:rPr>
          <w:spacing w:val="-1"/>
          <w:sz w:val="22"/>
        </w:rPr>
        <w:t> </w:t>
      </w:r>
      <w:r>
        <w:rPr>
          <w:sz w:val="22"/>
        </w:rPr>
        <w:t>taxas.</w:t>
      </w:r>
    </w:p>
    <w:p>
      <w:pPr>
        <w:pStyle w:val="BodyText"/>
        <w:spacing w:line="276" w:lineRule="auto" w:before="1"/>
        <w:ind w:left="242" w:right="234"/>
        <w:jc w:val="both"/>
      </w:pPr>
      <w:r>
        <w:rPr/>
        <w:t>Considerando que o CAU/BR, através do GAD, informou que deveria ser utilizado o relatório gerencial 10 disponível no SICCAU. Assim realizado, a ATEC constatou que aqueles profissionais que se encaixam nas situações acima citadas possuem o registro  incompleto devido a falhas na migração do sistema do pregresso Conselho e o SICCAU. Os registros, dentre outros problemas, não possuem dados de titulação, consequentemente, o SICCAU nunca gerou cobranças de anuidades para esses</w:t>
      </w:r>
      <w:r>
        <w:rPr>
          <w:spacing w:val="-6"/>
        </w:rPr>
        <w:t> </w:t>
      </w:r>
      <w:r>
        <w:rPr/>
        <w:t>profissionais.</w:t>
      </w:r>
    </w:p>
    <w:p>
      <w:pPr>
        <w:pStyle w:val="BodyText"/>
        <w:spacing w:line="276" w:lineRule="auto"/>
        <w:ind w:left="242" w:right="235" w:firstLine="719"/>
        <w:jc w:val="both"/>
      </w:pPr>
      <w:r>
        <w:rPr/>
        <w:t>Considerando que a Portaria 77 instaura procedimentos de suspensão do registro dos profissionais, porém, a Resolução N° 167, de 16 de agosto de 2018 estabelece que a suspensão decorre de:</w:t>
      </w:r>
    </w:p>
    <w:p>
      <w:pPr>
        <w:pStyle w:val="ListParagraph"/>
        <w:numPr>
          <w:ilvl w:val="0"/>
          <w:numId w:val="2"/>
        </w:numPr>
        <w:tabs>
          <w:tab w:pos="1819" w:val="left" w:leader="none"/>
        </w:tabs>
        <w:spacing w:line="276" w:lineRule="auto" w:before="0" w:after="0"/>
        <w:ind w:left="1682" w:right="238" w:firstLine="0"/>
        <w:jc w:val="both"/>
        <w:rPr>
          <w:sz w:val="22"/>
        </w:rPr>
      </w:pPr>
      <w:r>
        <w:rPr>
          <w:sz w:val="22"/>
        </w:rPr>
        <w:t>– Aplicação de sanção de natureza ético-disciplinar, de suspensão de registro, decorrente de decisão transitada em julgado em processo de mesma natureza, nos termos da regulamentação CAU/BR</w:t>
      </w:r>
      <w:r>
        <w:rPr>
          <w:spacing w:val="-3"/>
          <w:sz w:val="22"/>
        </w:rPr>
        <w:t> </w:t>
      </w:r>
      <w:r>
        <w:rPr>
          <w:sz w:val="22"/>
        </w:rPr>
        <w:t>correlata;</w:t>
      </w:r>
    </w:p>
    <w:p>
      <w:pPr>
        <w:pStyle w:val="ListParagraph"/>
        <w:numPr>
          <w:ilvl w:val="0"/>
          <w:numId w:val="2"/>
        </w:numPr>
        <w:tabs>
          <w:tab w:pos="1937" w:val="left" w:leader="none"/>
        </w:tabs>
        <w:spacing w:line="276" w:lineRule="auto" w:before="0" w:after="0"/>
        <w:ind w:left="1682" w:right="236" w:firstLine="0"/>
        <w:jc w:val="both"/>
        <w:rPr>
          <w:sz w:val="22"/>
        </w:rPr>
      </w:pPr>
      <w:r>
        <w:rPr>
          <w:sz w:val="22"/>
        </w:rPr>
        <w:t>– Medida administrativa de suspensão de registro decorrente de decisão transitada em julgado, por inadimplência, em processo administrativo de cobrança de valores de anuidade ou multa, nos termos da regulamentação CAU/BR correlata;</w:t>
      </w:r>
      <w:r>
        <w:rPr>
          <w:spacing w:val="-1"/>
          <w:sz w:val="22"/>
        </w:rPr>
        <w:t> </w:t>
      </w:r>
      <w:r>
        <w:rPr>
          <w:sz w:val="22"/>
        </w:rPr>
        <w:t>ou</w:t>
      </w:r>
    </w:p>
    <w:p>
      <w:pPr>
        <w:pStyle w:val="ListParagraph"/>
        <w:numPr>
          <w:ilvl w:val="0"/>
          <w:numId w:val="2"/>
        </w:numPr>
        <w:tabs>
          <w:tab w:pos="2002" w:val="left" w:leader="none"/>
        </w:tabs>
        <w:spacing w:line="276" w:lineRule="auto" w:before="0" w:after="0"/>
        <w:ind w:left="1682" w:right="238" w:firstLine="0"/>
        <w:jc w:val="both"/>
        <w:rPr>
          <w:sz w:val="22"/>
        </w:rPr>
      </w:pPr>
      <w:r>
        <w:rPr>
          <w:sz w:val="22"/>
        </w:rPr>
        <w:t>– Registro provisório ou temporário no CAU com prazo vencido e sem regularização ou pedido de</w:t>
      </w:r>
      <w:r>
        <w:rPr>
          <w:spacing w:val="-7"/>
          <w:sz w:val="22"/>
        </w:rPr>
        <w:t> </w:t>
      </w:r>
      <w:r>
        <w:rPr>
          <w:sz w:val="22"/>
        </w:rPr>
        <w:t>prorrogação.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495" w:footer="1106" w:top="1880" w:bottom="1300" w:left="1460" w:right="1460"/>
        </w:sectPr>
      </w:pPr>
    </w:p>
    <w:p>
      <w:pPr>
        <w:pStyle w:val="BodyText"/>
        <w:spacing w:line="276" w:lineRule="auto" w:before="109"/>
        <w:ind w:left="242" w:right="235" w:firstLine="707"/>
        <w:jc w:val="both"/>
      </w:pPr>
      <w:r>
        <w:rPr/>
        <w:t>Considerando que a Resolução CAU/BR 167, de 16 de agosto de 2018 estabelece que “A interrupção do registro profissional não implica a extinção do vínculo jurídico do arquiteto e urbanista para com o CAU, que continuará pertencendo ao quadro de profissionais inscritos, sujeito à lei de regência da Arquitetura e Urbanismo e ao Código de Ética e Disciplina do CAU/BR.”</w:t>
      </w:r>
    </w:p>
    <w:p>
      <w:pPr>
        <w:pStyle w:val="BodyText"/>
        <w:spacing w:line="276" w:lineRule="auto"/>
        <w:ind w:left="242" w:right="235" w:firstLine="707"/>
        <w:jc w:val="both"/>
      </w:pPr>
      <w:r>
        <w:rPr/>
        <w:t>Considerando que os profissionais listados se encaixam nos requisitos estabelecidos pela Resolução CAU/BR 167, de 16 de agosto de 2018 para interrupção de registro estabelecidos no Art. 4°, sendo</w:t>
      </w:r>
      <w:r>
        <w:rPr>
          <w:spacing w:val="-2"/>
        </w:rPr>
        <w:t> </w:t>
      </w:r>
      <w:r>
        <w:rPr/>
        <w:t>eles:</w:t>
      </w:r>
    </w:p>
    <w:p>
      <w:pPr>
        <w:pStyle w:val="ListParagraph"/>
        <w:numPr>
          <w:ilvl w:val="0"/>
          <w:numId w:val="3"/>
        </w:numPr>
        <w:tabs>
          <w:tab w:pos="1819" w:val="left" w:leader="none"/>
        </w:tabs>
        <w:spacing w:line="276" w:lineRule="auto" w:before="0" w:after="0"/>
        <w:ind w:left="1682" w:right="236" w:firstLine="0"/>
        <w:jc w:val="both"/>
        <w:rPr>
          <w:sz w:val="22"/>
        </w:rPr>
      </w:pPr>
      <w:r>
        <w:rPr>
          <w:sz w:val="22"/>
        </w:rPr>
        <w:t>– Não ocupar emprego, cargo ou função técnica, no setor público ou privado, para o qual seja exigida formação profissional na área de Arquitetura e Urbanismo ou para cujo concurso público ou processo seletivo tenha sido exigido o registro do profissional no</w:t>
      </w:r>
      <w:r>
        <w:rPr>
          <w:spacing w:val="-9"/>
          <w:sz w:val="22"/>
        </w:rPr>
        <w:t> </w:t>
      </w:r>
      <w:r>
        <w:rPr>
          <w:sz w:val="22"/>
        </w:rPr>
        <w:t>Conselho;</w:t>
      </w:r>
    </w:p>
    <w:p>
      <w:pPr>
        <w:pStyle w:val="ListParagraph"/>
        <w:numPr>
          <w:ilvl w:val="0"/>
          <w:numId w:val="3"/>
        </w:numPr>
        <w:tabs>
          <w:tab w:pos="1889" w:val="left" w:leader="none"/>
        </w:tabs>
        <w:spacing w:line="276" w:lineRule="auto" w:before="1" w:after="0"/>
        <w:ind w:left="1682" w:right="237" w:firstLine="0"/>
        <w:jc w:val="both"/>
        <w:rPr>
          <w:sz w:val="22"/>
        </w:rPr>
      </w:pPr>
      <w:r>
        <w:rPr>
          <w:sz w:val="22"/>
        </w:rPr>
        <w:t>– Não constar em processo fiscalizatório e/ou ético-disciplinar em tramitação nos CAU/UF ou no CAU/BR; e</w:t>
      </w:r>
    </w:p>
    <w:p>
      <w:pPr>
        <w:pStyle w:val="ListParagraph"/>
        <w:numPr>
          <w:ilvl w:val="0"/>
          <w:numId w:val="3"/>
        </w:numPr>
        <w:tabs>
          <w:tab w:pos="1985" w:val="left" w:leader="none"/>
        </w:tabs>
        <w:spacing w:line="276" w:lineRule="auto" w:before="0" w:after="0"/>
        <w:ind w:left="1682" w:right="241" w:firstLine="0"/>
        <w:jc w:val="left"/>
        <w:rPr>
          <w:sz w:val="22"/>
        </w:rPr>
      </w:pPr>
      <w:r>
        <w:rPr>
          <w:sz w:val="22"/>
        </w:rPr>
        <w:t>– Não possuir Registro de Responsabilidade Técnica (RRT) sem a devida baixa no</w:t>
      </w:r>
      <w:r>
        <w:rPr>
          <w:spacing w:val="-2"/>
          <w:sz w:val="22"/>
        </w:rPr>
        <w:t> </w:t>
      </w:r>
      <w:r>
        <w:rPr>
          <w:sz w:val="22"/>
        </w:rPr>
        <w:t>CAU.</w:t>
      </w:r>
    </w:p>
    <w:p>
      <w:pPr>
        <w:pStyle w:val="BodyText"/>
        <w:ind w:left="950"/>
      </w:pPr>
      <w:r>
        <w:rPr/>
        <w:t>Considerando a falta de dados de contato completos e o princípio a economicidade;</w:t>
      </w:r>
    </w:p>
    <w:p>
      <w:pPr>
        <w:pStyle w:val="BodyText"/>
        <w:spacing w:line="276" w:lineRule="auto" w:before="38"/>
        <w:ind w:left="242" w:firstLine="707"/>
      </w:pPr>
      <w:r>
        <w:rPr/>
        <w:t>Resolve que o saneamento do SICCAU deverá ocorrer através da INTERRUPÇÃO do registros desses profissionais com data de início em</w:t>
      </w:r>
      <w:r>
        <w:rPr>
          <w:spacing w:val="-9"/>
        </w:rPr>
        <w:t> </w:t>
      </w:r>
      <w:r>
        <w:rPr/>
        <w:t>01/01/2012.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2"/>
        <w:ind w:left="2004" w:right="2002"/>
        <w:jc w:val="center"/>
      </w:pPr>
      <w:r>
        <w:rPr/>
        <w:t>CONSELHEIRO</w:t>
      </w:r>
      <w:r>
        <w:rPr>
          <w:spacing w:val="-8"/>
        </w:rPr>
        <w:t> </w:t>
      </w:r>
      <w:r>
        <w:rPr/>
        <w:t>RELATOR</w:t>
      </w:r>
    </w:p>
    <w:p>
      <w:pPr>
        <w:pStyle w:val="BodyText"/>
        <w:spacing w:before="2"/>
        <w:ind w:left="2004" w:right="2003"/>
        <w:jc w:val="center"/>
      </w:pPr>
      <w:r>
        <w:rPr/>
        <w:t>Comissão de Ensino, Exercício e Formação Profissional</w:t>
      </w:r>
    </w:p>
    <w:p>
      <w:pPr>
        <w:spacing w:after="0"/>
        <w:jc w:val="center"/>
        <w:sectPr>
          <w:headerReference w:type="default" r:id="rId7"/>
          <w:footerReference w:type="default" r:id="rId8"/>
          <w:pgSz w:w="11910" w:h="16840"/>
          <w:pgMar w:header="495" w:footer="1106" w:top="1880" w:bottom="1300" w:left="1460" w:right="1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1"/>
        </w:r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7"/>
        <w:gridCol w:w="6784"/>
      </w:tblGrid>
      <w:tr>
        <w:trPr>
          <w:trHeight w:val="275" w:hRule="atLeast"/>
        </w:trPr>
        <w:tc>
          <w:tcPr>
            <w:tcW w:w="1937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67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1115059/2020</w:t>
            </w:r>
          </w:p>
        </w:tc>
      </w:tr>
      <w:tr>
        <w:trPr>
          <w:trHeight w:val="280" w:hRule="atLeast"/>
        </w:trPr>
        <w:tc>
          <w:tcPr>
            <w:tcW w:w="1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INTERESSADO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ASSUNTO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76" w:lineRule="exact" w:before="2"/>
              <w:ind w:left="100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PORTARIA NORMATIVA N° 77, DE 8 DE MAIO DE 2020 do CAU/BR</w:t>
            </w:r>
          </w:p>
        </w:tc>
      </w:tr>
      <w:tr>
        <w:trPr>
          <w:trHeight w:val="274" w:hRule="atLeast"/>
        </w:trPr>
        <w:tc>
          <w:tcPr>
            <w:tcW w:w="1937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5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08 DE JUNHO DE 2020</w:t>
            </w:r>
          </w:p>
        </w:tc>
      </w:tr>
    </w:tbl>
    <w:p>
      <w:pPr>
        <w:pStyle w:val="BodyText"/>
        <w:spacing w:before="7"/>
        <w:rPr>
          <w:sz w:val="20"/>
        </w:rPr>
      </w:pPr>
      <w:r>
        <w:rPr/>
        <w:pict>
          <v:group style="position:absolute;margin-left:78.984001pt;margin-top:13.8pt;width:436.75pt;height:14.8pt;mso-position-horizontal-relative:page;mso-position-vertical-relative:paragraph;z-index:-15725568;mso-wrap-distance-left:0;mso-wrap-distance-right:0" coordorigin="1580,276" coordsize="8735,296">
            <v:rect style="position:absolute;left:1594;top:285;width:8721;height:276" filled="true" fillcolor="#edebe0" stroked="false">
              <v:fill type="solid"/>
            </v:rect>
            <v:shape style="position:absolute;left:1579;top:276;width:8735;height:296" coordorigin="1580,276" coordsize="8735,296" path="m10315,276l1594,276,1594,286,10315,286,10315,276xm10315,562l1580,562,1580,571,10315,571,10315,562xe" filled="true" fillcolor="#000000" stroked="false">
              <v:path arrowok="t"/>
              <v:fill type="solid"/>
            </v:shape>
            <v:shape style="position:absolute;left:1594;top:285;width:8721;height:27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2653" w:right="2654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FORMULÁRIO DE VOTAÇÃO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3"/>
        </w:rPr>
      </w:pPr>
    </w:p>
    <w:p>
      <w:pPr>
        <w:pStyle w:val="Heading1"/>
        <w:spacing w:before="90"/>
        <w:ind w:right="378"/>
      </w:pPr>
      <w:r>
        <w:rPr/>
        <w:t>Após apreciação do relato exarado pelo Sr. (a) Conselheiro (a) Relator (a), referente ao processo supracitado, fica deliberado conforme segue a votação dos membros desta Comissão de Ensino, Exercício e Formação Profissional: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tbl>
      <w:tblPr>
        <w:tblW w:w="0" w:type="auto"/>
        <w:jc w:val="left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4"/>
        <w:gridCol w:w="2197"/>
        <w:gridCol w:w="2303"/>
      </w:tblGrid>
      <w:tr>
        <w:trPr>
          <w:trHeight w:val="669" w:hRule="atLeast"/>
        </w:trPr>
        <w:tc>
          <w:tcPr>
            <w:tcW w:w="4244" w:type="dxa"/>
          </w:tcPr>
          <w:p>
            <w:pPr>
              <w:pStyle w:val="TableParagraph"/>
              <w:spacing w:before="54"/>
              <w:ind w:left="446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Conselheiro Titular / Suplente</w:t>
            </w:r>
          </w:p>
        </w:tc>
        <w:tc>
          <w:tcPr>
            <w:tcW w:w="2197" w:type="dxa"/>
          </w:tcPr>
          <w:p>
            <w:pPr>
              <w:pStyle w:val="TableParagraph"/>
              <w:spacing w:before="54"/>
              <w:ind w:left="479" w:right="477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Assinatura</w:t>
            </w:r>
          </w:p>
        </w:tc>
        <w:tc>
          <w:tcPr>
            <w:tcW w:w="2303" w:type="dxa"/>
          </w:tcPr>
          <w:p>
            <w:pPr>
              <w:pStyle w:val="TableParagraph"/>
              <w:spacing w:before="54"/>
              <w:ind w:left="63" w:right="51" w:firstLine="144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Voto (favorável / contra / abstenção)</w:t>
            </w:r>
          </w:p>
        </w:tc>
      </w:tr>
      <w:tr>
        <w:trPr>
          <w:trHeight w:val="669" w:hRule="atLeast"/>
        </w:trPr>
        <w:tc>
          <w:tcPr>
            <w:tcW w:w="4244" w:type="dxa"/>
          </w:tcPr>
          <w:p>
            <w:pPr>
              <w:pStyle w:val="TableParagraph"/>
              <w:spacing w:before="51"/>
              <w:ind w:left="5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Paulo Renato de Moraes Alves (coordenador)</w:t>
            </w:r>
          </w:p>
        </w:tc>
        <w:tc>
          <w:tcPr>
            <w:tcW w:w="2197" w:type="dxa"/>
          </w:tcPr>
          <w:p>
            <w:pPr>
              <w:pStyle w:val="TableParagraph"/>
              <w:spacing w:before="51"/>
              <w:ind w:left="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X</w:t>
            </w:r>
          </w:p>
        </w:tc>
        <w:tc>
          <w:tcPr>
            <w:tcW w:w="2303" w:type="dxa"/>
          </w:tcPr>
          <w:p>
            <w:pPr>
              <w:pStyle w:val="TableParagraph"/>
              <w:spacing w:before="51"/>
              <w:ind w:left="621" w:right="623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Favorável</w:t>
            </w:r>
          </w:p>
        </w:tc>
      </w:tr>
      <w:tr>
        <w:trPr>
          <w:trHeight w:val="386" w:hRule="atLeast"/>
        </w:trPr>
        <w:tc>
          <w:tcPr>
            <w:tcW w:w="4244" w:type="dxa"/>
          </w:tcPr>
          <w:p>
            <w:pPr>
              <w:pStyle w:val="TableParagraph"/>
              <w:spacing w:before="51"/>
              <w:ind w:left="5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Frederico André Rabelo (titular)</w:t>
            </w:r>
          </w:p>
        </w:tc>
        <w:tc>
          <w:tcPr>
            <w:tcW w:w="2197" w:type="dxa"/>
          </w:tcPr>
          <w:p>
            <w:pPr>
              <w:pStyle w:val="TableParagraph"/>
              <w:spacing w:before="51"/>
              <w:ind w:left="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X</w:t>
            </w:r>
          </w:p>
        </w:tc>
        <w:tc>
          <w:tcPr>
            <w:tcW w:w="2303" w:type="dxa"/>
          </w:tcPr>
          <w:p>
            <w:pPr>
              <w:pStyle w:val="TableParagraph"/>
              <w:spacing w:before="51"/>
              <w:ind w:left="621" w:right="623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Favorável</w:t>
            </w:r>
          </w:p>
        </w:tc>
      </w:tr>
      <w:tr>
        <w:trPr>
          <w:trHeight w:val="386" w:hRule="atLeast"/>
        </w:trPr>
        <w:tc>
          <w:tcPr>
            <w:tcW w:w="4244" w:type="dxa"/>
          </w:tcPr>
          <w:p>
            <w:pPr>
              <w:pStyle w:val="TableParagraph"/>
              <w:spacing w:before="51"/>
              <w:ind w:left="5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Ariel Silveira De Viveiros (suplente)</w:t>
            </w:r>
          </w:p>
        </w:tc>
        <w:tc>
          <w:tcPr>
            <w:tcW w:w="2197" w:type="dxa"/>
          </w:tcPr>
          <w:p>
            <w:pPr>
              <w:pStyle w:val="TableParagraph"/>
              <w:spacing w:before="51"/>
              <w:ind w:left="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303" w:type="dxa"/>
          </w:tcPr>
          <w:p>
            <w:pPr>
              <w:pStyle w:val="TableParagraph"/>
              <w:spacing w:before="51"/>
              <w:ind w:left="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>
        <w:trPr>
          <w:trHeight w:val="386" w:hRule="atLeast"/>
        </w:trPr>
        <w:tc>
          <w:tcPr>
            <w:tcW w:w="4244" w:type="dxa"/>
          </w:tcPr>
          <w:p>
            <w:pPr>
              <w:pStyle w:val="TableParagraph"/>
              <w:spacing w:before="51"/>
              <w:ind w:left="5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Adriana Mikulaschek (suplente)</w:t>
            </w:r>
          </w:p>
        </w:tc>
        <w:tc>
          <w:tcPr>
            <w:tcW w:w="2197" w:type="dxa"/>
          </w:tcPr>
          <w:p>
            <w:pPr>
              <w:pStyle w:val="TableParagraph"/>
              <w:spacing w:before="51"/>
              <w:ind w:left="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X</w:t>
            </w:r>
          </w:p>
        </w:tc>
        <w:tc>
          <w:tcPr>
            <w:tcW w:w="2303" w:type="dxa"/>
          </w:tcPr>
          <w:p>
            <w:pPr>
              <w:pStyle w:val="TableParagraph"/>
              <w:spacing w:before="51"/>
              <w:ind w:left="621" w:right="623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Favorável</w:t>
            </w:r>
          </w:p>
        </w:tc>
      </w:tr>
    </w:tbl>
    <w:p>
      <w:pPr>
        <w:spacing w:after="0"/>
        <w:jc w:val="center"/>
        <w:rPr>
          <w:rFonts w:ascii="Cambria" w:hAnsi="Cambria"/>
          <w:sz w:val="24"/>
        </w:rPr>
        <w:sectPr>
          <w:headerReference w:type="default" r:id="rId9"/>
          <w:footerReference w:type="default" r:id="rId10"/>
          <w:pgSz w:w="11910" w:h="16840"/>
          <w:pgMar w:header="495" w:footer="1106" w:top="1880" w:bottom="1300" w:left="1460" w:right="1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6784"/>
      </w:tblGrid>
      <w:tr>
        <w:trPr>
          <w:trHeight w:val="275" w:hRule="atLeast"/>
        </w:trPr>
        <w:tc>
          <w:tcPr>
            <w:tcW w:w="1951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255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67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1115059/2020</w:t>
            </w:r>
          </w:p>
        </w:tc>
      </w:tr>
      <w:tr>
        <w:trPr>
          <w:trHeight w:val="282" w:hRule="atLeast"/>
        </w:trPr>
        <w:tc>
          <w:tcPr>
            <w:tcW w:w="1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261" w:lineRule="exact" w:before="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INTERESSADO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275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ASSUNTO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76" w:lineRule="exact" w:before="2"/>
              <w:ind w:left="105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PORTARIA NORMATIVA N° 77, DE 8 DE MAIO DE 2020 do CAU/BR</w:t>
            </w:r>
          </w:p>
        </w:tc>
      </w:tr>
      <w:tr>
        <w:trPr>
          <w:trHeight w:val="272" w:hRule="atLeast"/>
        </w:trPr>
        <w:tc>
          <w:tcPr>
            <w:tcW w:w="8735" w:type="dxa"/>
            <w:gridSpan w:val="2"/>
            <w:tcBorders>
              <w:top w:val="single" w:sz="6" w:space="0" w:color="000000"/>
              <w:left w:val="nil"/>
              <w:right w:val="nil"/>
            </w:tcBorders>
            <w:shd w:val="clear" w:color="auto" w:fill="EDEBE0"/>
          </w:tcPr>
          <w:p>
            <w:pPr>
              <w:pStyle w:val="TableParagraph"/>
              <w:spacing w:line="253" w:lineRule="exact"/>
              <w:ind w:left="2038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N.º 022/2020-CEEFP/GO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91"/>
        <w:ind w:left="242" w:right="235" w:firstLine="719"/>
        <w:jc w:val="both"/>
      </w:pPr>
      <w:r>
        <w:rPr/>
        <w:t>A Comissão de Exercício Profissional, Ensino e Formação do CAU/GO, em sua reunião ordinária, realizada em 08/06/20, apreciando o processo nº 1115059/2020, que versa sobre solicitação da Gerência Técnica do CAU/GO para análise e parecer sobre procedimento para cumprir o objetivo de sanear o banco de dados do SICCAU solicitados pela PORTARIA NORMATIVA N° 77, DE 8 DE MAIO DE 2020 do CAU/BR;</w:t>
      </w:r>
    </w:p>
    <w:p>
      <w:pPr>
        <w:pStyle w:val="BodyText"/>
        <w:spacing w:line="276" w:lineRule="auto" w:before="123"/>
        <w:ind w:left="242" w:right="235" w:firstLine="719"/>
        <w:jc w:val="both"/>
      </w:pPr>
      <w:r>
        <w:rPr/>
        <w:t>Considerando que em 8 de maio de 2020, o CAU/BR emitiu a Portaria Normativa n 77 que define os procedimentos para fins de saneamento do banco de dados dos Conselhos de Arquitetura e Urbanismo dos Estados e do Distrito Federal (CAU/UF), no Sistema de Informação e Comunicação dos Conselhos de Arquitetura e Urbanismo (SICCAU), dos registros dos arquitetos e urbanistas que tenham migrado dos então Conselhos Regionais de Engenharia, Arquitetura e Agronomia (CREA) para os CAU/UF na forma </w:t>
      </w:r>
      <w:r>
        <w:rPr>
          <w:spacing w:val="2"/>
        </w:rPr>
        <w:t>do </w:t>
      </w:r>
      <w:r>
        <w:rPr/>
        <w:t>art. 55 da Lei n° 12.378, de 31 de dezembro de 2020, e que, estando na situação de “ativos”, incorrerem nas seguintes</w:t>
      </w:r>
      <w:r>
        <w:rPr>
          <w:spacing w:val="-1"/>
        </w:rPr>
        <w:t> </w:t>
      </w:r>
      <w:r>
        <w:rPr/>
        <w:t>situações:</w:t>
      </w:r>
    </w:p>
    <w:p>
      <w:pPr>
        <w:pStyle w:val="ListParagraph"/>
        <w:numPr>
          <w:ilvl w:val="0"/>
          <w:numId w:val="4"/>
        </w:numPr>
        <w:tabs>
          <w:tab w:pos="1812" w:val="left" w:leader="none"/>
        </w:tabs>
        <w:spacing w:line="276" w:lineRule="auto" w:before="1" w:after="0"/>
        <w:ind w:left="1682" w:right="237" w:firstLine="0"/>
        <w:jc w:val="both"/>
        <w:rPr>
          <w:sz w:val="22"/>
        </w:rPr>
      </w:pPr>
      <w:r>
        <w:rPr>
          <w:sz w:val="22"/>
        </w:rPr>
        <w:t>- Não tenham realizado o recadastramento nem a atualização cadastral desde a migração, nem tenham entrado em contato ou solicitado atendimento aos Conselhos de Arquitetura e Urbanismo (CAU/BR e CAU/UF);</w:t>
      </w:r>
      <w:r>
        <w:rPr>
          <w:spacing w:val="-9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4"/>
        </w:numPr>
        <w:tabs>
          <w:tab w:pos="1901" w:val="left" w:leader="none"/>
        </w:tabs>
        <w:spacing w:line="276" w:lineRule="auto" w:before="0" w:after="0"/>
        <w:ind w:left="1682" w:right="236" w:firstLine="0"/>
        <w:jc w:val="both"/>
        <w:rPr>
          <w:sz w:val="22"/>
        </w:rPr>
      </w:pPr>
      <w:r>
        <w:rPr>
          <w:sz w:val="22"/>
        </w:rPr>
        <w:t>- Não tenham realizado qualquer acesso ao SICCAU desde a migração nem emitido boletos de arrecadação referentes às anuidades, à emissão de carteira de identidade profissional ou a Registro de Responsabilidade Técnica (RRT), nem realizado pagamento de</w:t>
      </w:r>
      <w:r>
        <w:rPr>
          <w:spacing w:val="-1"/>
          <w:sz w:val="22"/>
        </w:rPr>
        <w:t> </w:t>
      </w:r>
      <w:r>
        <w:rPr>
          <w:sz w:val="22"/>
        </w:rPr>
        <w:t>taxas.</w:t>
      </w:r>
    </w:p>
    <w:p>
      <w:pPr>
        <w:pStyle w:val="BodyText"/>
        <w:spacing w:line="276" w:lineRule="auto"/>
        <w:ind w:left="242" w:right="235" w:firstLine="719"/>
        <w:jc w:val="both"/>
      </w:pPr>
      <w:r>
        <w:rPr/>
        <w:t>Considerando que o CAU/BR, através do GAD, informou que deveria ser utilizado o relatório gerencial 10 disponível no SICCAU. Assim realizado, a ATEC constatou que aqueles profissionais que se encaixam nas situações acima citadas possuem o registro  incompleto devido a falhas na migração do sistema do pregresso Conselho e o SICCAU. Os registros, dentre outros problemas, não possuem dados de titulação, consequentemente, o SICCAU nunca gerou cobranças de anuidades para esses</w:t>
      </w:r>
      <w:r>
        <w:rPr>
          <w:spacing w:val="-6"/>
        </w:rPr>
        <w:t> </w:t>
      </w:r>
      <w:r>
        <w:rPr/>
        <w:t>profissionais.</w:t>
      </w:r>
    </w:p>
    <w:p>
      <w:pPr>
        <w:pStyle w:val="BodyText"/>
        <w:spacing w:line="276" w:lineRule="auto" w:before="1"/>
        <w:ind w:left="242" w:right="235" w:firstLine="719"/>
        <w:jc w:val="both"/>
      </w:pPr>
      <w:r>
        <w:rPr/>
        <w:t>Considerando que a Portaria 77 instaura procedimentos de suspensão do registro dos profissionais, porém, a Resolução N° 167, de 16 de agosto de 2018 estabelece que a suspensão decorre de:</w:t>
      </w:r>
    </w:p>
    <w:p>
      <w:pPr>
        <w:pStyle w:val="ListParagraph"/>
        <w:numPr>
          <w:ilvl w:val="0"/>
          <w:numId w:val="5"/>
        </w:numPr>
        <w:tabs>
          <w:tab w:pos="1819" w:val="left" w:leader="none"/>
        </w:tabs>
        <w:spacing w:line="276" w:lineRule="auto" w:before="0" w:after="0"/>
        <w:ind w:left="1682" w:right="235" w:firstLine="0"/>
        <w:jc w:val="both"/>
        <w:rPr>
          <w:sz w:val="22"/>
        </w:rPr>
      </w:pPr>
      <w:r>
        <w:rPr>
          <w:sz w:val="22"/>
        </w:rPr>
        <w:t>– Aplicação de sanção de natureza ético-disciplinar, de suspensão de registro, decorrente de decisão transitada em julgado em processo de mesma natureza, nos termos da regulamentação CAU/BR</w:t>
      </w:r>
      <w:r>
        <w:rPr>
          <w:spacing w:val="-3"/>
          <w:sz w:val="22"/>
        </w:rPr>
        <w:t> </w:t>
      </w:r>
      <w:r>
        <w:rPr>
          <w:sz w:val="22"/>
        </w:rPr>
        <w:t>correlata;</w:t>
      </w:r>
    </w:p>
    <w:p>
      <w:pPr>
        <w:pStyle w:val="ListParagraph"/>
        <w:numPr>
          <w:ilvl w:val="0"/>
          <w:numId w:val="5"/>
        </w:numPr>
        <w:tabs>
          <w:tab w:pos="1937" w:val="left" w:leader="none"/>
        </w:tabs>
        <w:spacing w:line="276" w:lineRule="auto" w:before="0" w:after="0"/>
        <w:ind w:left="1682" w:right="234" w:firstLine="0"/>
        <w:jc w:val="both"/>
        <w:rPr>
          <w:sz w:val="22"/>
        </w:rPr>
      </w:pPr>
      <w:r>
        <w:rPr>
          <w:sz w:val="22"/>
        </w:rPr>
        <w:t>– Medida administrativa de suspensão de registro decorrente de decisão transitada em julgado, por inadimplência, em processo administrativo de cobrança de valores de anuidade ou multa, nos termos da regulamentação CAU/BR correlata;</w:t>
      </w:r>
      <w:r>
        <w:rPr>
          <w:spacing w:val="-1"/>
          <w:sz w:val="22"/>
        </w:rPr>
        <w:t> </w:t>
      </w:r>
      <w:r>
        <w:rPr>
          <w:sz w:val="22"/>
        </w:rPr>
        <w:t>ou</w:t>
      </w:r>
    </w:p>
    <w:p>
      <w:pPr>
        <w:pStyle w:val="ListParagraph"/>
        <w:numPr>
          <w:ilvl w:val="0"/>
          <w:numId w:val="5"/>
        </w:numPr>
        <w:tabs>
          <w:tab w:pos="2002" w:val="left" w:leader="none"/>
        </w:tabs>
        <w:spacing w:line="276" w:lineRule="auto" w:before="0" w:after="0"/>
        <w:ind w:left="1682" w:right="242" w:firstLine="0"/>
        <w:jc w:val="both"/>
        <w:rPr>
          <w:sz w:val="22"/>
        </w:rPr>
      </w:pPr>
      <w:r>
        <w:rPr>
          <w:sz w:val="22"/>
        </w:rPr>
        <w:t>– Registro provisório ou temporário no CAU com prazo vencido e sem regularização ou pedido de</w:t>
      </w:r>
      <w:r>
        <w:rPr>
          <w:spacing w:val="-7"/>
          <w:sz w:val="22"/>
        </w:rPr>
        <w:t> </w:t>
      </w:r>
      <w:r>
        <w:rPr>
          <w:sz w:val="22"/>
        </w:rPr>
        <w:t>prorrogação.</w:t>
      </w:r>
    </w:p>
    <w:p>
      <w:pPr>
        <w:pStyle w:val="BodyText"/>
        <w:spacing w:line="252" w:lineRule="exact"/>
        <w:ind w:left="950"/>
        <w:jc w:val="both"/>
      </w:pPr>
      <w:r>
        <w:rPr/>
        <w:t>Considerando que a Resolução CAU/BR 167, de 16 de agosto de 2018 estabelece que</w:t>
      </w:r>
    </w:p>
    <w:p>
      <w:pPr>
        <w:spacing w:after="0" w:line="252" w:lineRule="exact"/>
        <w:jc w:val="both"/>
        <w:sectPr>
          <w:pgSz w:w="11910" w:h="16840"/>
          <w:pgMar w:header="495" w:footer="1106" w:top="1880" w:bottom="1300" w:left="1460" w:right="1460"/>
        </w:sectPr>
      </w:pPr>
    </w:p>
    <w:p>
      <w:pPr>
        <w:pStyle w:val="BodyText"/>
        <w:spacing w:line="276" w:lineRule="auto" w:before="109"/>
        <w:ind w:left="242" w:right="238"/>
        <w:jc w:val="both"/>
      </w:pPr>
      <w:r>
        <w:rPr/>
        <w:t>“A interrupção do registro profissional não implica a extinção do vínculo jurídico do arquiteto e urbanista para com o CAU, que continuará pertencendo ao quadro de profissionais inscritos, sujeito à lei de regência da Arquitetura e Urbanismo e ao Código de Ética e Disciplina do CAU/BR.”</w:t>
      </w:r>
    </w:p>
    <w:p>
      <w:pPr>
        <w:pStyle w:val="BodyText"/>
        <w:spacing w:line="276" w:lineRule="auto"/>
        <w:ind w:left="242" w:right="237" w:firstLine="707"/>
        <w:jc w:val="both"/>
      </w:pPr>
      <w:r>
        <w:rPr/>
        <w:t>Considerando que os profissionais listados se encaixam nos requisitos estabelecidos pela Resolução CAU/BR 167, de 16 de agosto de 2018 para interrupção de registro estabelecidos no Art. 4°, sendo</w:t>
      </w:r>
      <w:r>
        <w:rPr>
          <w:spacing w:val="-2"/>
        </w:rPr>
        <w:t> </w:t>
      </w:r>
      <w:r>
        <w:rPr/>
        <w:t>eles:</w:t>
      </w:r>
    </w:p>
    <w:p>
      <w:pPr>
        <w:pStyle w:val="ListParagraph"/>
        <w:numPr>
          <w:ilvl w:val="0"/>
          <w:numId w:val="6"/>
        </w:numPr>
        <w:tabs>
          <w:tab w:pos="1819" w:val="left" w:leader="none"/>
        </w:tabs>
        <w:spacing w:line="276" w:lineRule="auto" w:before="1" w:after="0"/>
        <w:ind w:left="1682" w:right="235" w:firstLine="0"/>
        <w:jc w:val="both"/>
        <w:rPr>
          <w:sz w:val="22"/>
        </w:rPr>
      </w:pPr>
      <w:r>
        <w:rPr>
          <w:sz w:val="22"/>
        </w:rPr>
        <w:t>– Não ocupar emprego, cargo ou função técnica, no setor público ou privado, para o qual seja exigida formação profissional na área de Arquitetura e Urbanismo ou para cujo concurso público ou processo seletivo tenha sido exigido o registro do profissional no</w:t>
      </w:r>
      <w:r>
        <w:rPr>
          <w:spacing w:val="-9"/>
          <w:sz w:val="22"/>
        </w:rPr>
        <w:t> </w:t>
      </w:r>
      <w:r>
        <w:rPr>
          <w:sz w:val="22"/>
        </w:rPr>
        <w:t>Conselho;</w:t>
      </w:r>
    </w:p>
    <w:p>
      <w:pPr>
        <w:pStyle w:val="ListParagraph"/>
        <w:numPr>
          <w:ilvl w:val="0"/>
          <w:numId w:val="6"/>
        </w:numPr>
        <w:tabs>
          <w:tab w:pos="1889" w:val="left" w:leader="none"/>
        </w:tabs>
        <w:spacing w:line="276" w:lineRule="auto" w:before="0" w:after="0"/>
        <w:ind w:left="1682" w:right="237" w:firstLine="0"/>
        <w:jc w:val="both"/>
        <w:rPr>
          <w:sz w:val="22"/>
        </w:rPr>
      </w:pPr>
      <w:r>
        <w:rPr>
          <w:sz w:val="22"/>
        </w:rPr>
        <w:t>– Não constar em processo fiscalizatório e/ou ético-disciplinar em tramitação nos CAU/UF ou no CAU/BR; e</w:t>
      </w:r>
    </w:p>
    <w:p>
      <w:pPr>
        <w:pStyle w:val="ListParagraph"/>
        <w:numPr>
          <w:ilvl w:val="0"/>
          <w:numId w:val="6"/>
        </w:numPr>
        <w:tabs>
          <w:tab w:pos="1985" w:val="left" w:leader="none"/>
        </w:tabs>
        <w:spacing w:line="276" w:lineRule="auto" w:before="0" w:after="0"/>
        <w:ind w:left="1682" w:right="240" w:firstLine="0"/>
        <w:jc w:val="both"/>
        <w:rPr>
          <w:sz w:val="22"/>
        </w:rPr>
      </w:pPr>
      <w:r>
        <w:rPr>
          <w:sz w:val="22"/>
        </w:rPr>
        <w:t>– Não possuir Registro de Responsabilidade Técnica (RRT) sem a devida baixa no</w:t>
      </w:r>
      <w:r>
        <w:rPr>
          <w:spacing w:val="-2"/>
          <w:sz w:val="22"/>
        </w:rPr>
        <w:t> </w:t>
      </w:r>
      <w:r>
        <w:rPr>
          <w:sz w:val="22"/>
        </w:rPr>
        <w:t>CAU.</w:t>
      </w:r>
    </w:p>
    <w:p>
      <w:pPr>
        <w:pStyle w:val="BodyText"/>
        <w:spacing w:line="252" w:lineRule="exact"/>
        <w:ind w:left="950"/>
      </w:pPr>
      <w:r>
        <w:rPr/>
        <w:t>Considerando a falta de dados de contato completos e o princípio a economicidade;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  <w:spacing w:before="1"/>
      </w:pPr>
      <w:r>
        <w:rPr/>
        <w:t>DELIBEROU:</w:t>
      </w:r>
    </w:p>
    <w:p>
      <w:pPr>
        <w:pStyle w:val="BodyText"/>
        <w:rPr>
          <w:b/>
        </w:rPr>
      </w:pPr>
    </w:p>
    <w:p>
      <w:pPr>
        <w:pStyle w:val="BodyText"/>
        <w:ind w:left="242" w:right="238" w:firstLine="719"/>
        <w:jc w:val="both"/>
      </w:pPr>
      <w:r>
        <w:rPr/>
        <w:t>1 - Que o saneamento do SICCAU deverá ocorrer através da INTERRUPÇÃO dos registros desses profissionais com data de início em 01/01/2012.</w:t>
      </w:r>
    </w:p>
    <w:p>
      <w:pPr>
        <w:pStyle w:val="BodyText"/>
        <w:spacing w:before="123"/>
        <w:ind w:left="961"/>
      </w:pPr>
      <w:r>
        <w:rPr/>
        <w:t>Goiânia, 08 de junho de 2020.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252" w:lineRule="exact"/>
        <w:ind w:left="242"/>
      </w:pPr>
      <w:r>
        <w:rPr/>
        <w:t>PAULO RENATO DE MORAES ALVES</w:t>
      </w:r>
    </w:p>
    <w:p>
      <w:pPr>
        <w:pStyle w:val="BodyText"/>
        <w:spacing w:line="252" w:lineRule="exact"/>
        <w:ind w:left="242"/>
      </w:pPr>
      <w:r>
        <w:rPr/>
        <w:t>Coordenador da Comissão de Exercício, Ensino e Formação Profissional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BodyText"/>
        <w:spacing w:line="252" w:lineRule="exact"/>
        <w:ind w:left="242"/>
      </w:pPr>
      <w:r>
        <w:rPr/>
        <w:t>ADRIANA MIKULASCHEK</w:t>
      </w:r>
    </w:p>
    <w:p>
      <w:pPr>
        <w:pStyle w:val="BodyText"/>
        <w:spacing w:line="252" w:lineRule="exact"/>
        <w:ind w:left="242"/>
      </w:pPr>
      <w:r>
        <w:rPr/>
        <w:t>Membro suplente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42"/>
      </w:pPr>
      <w:r>
        <w:rPr/>
        <w:t>ARIEL SILVEIRA DE VIVEIROS</w:t>
      </w:r>
    </w:p>
    <w:p>
      <w:pPr>
        <w:pStyle w:val="BodyText"/>
        <w:spacing w:before="1"/>
        <w:ind w:left="242"/>
      </w:pPr>
      <w:r>
        <w:rPr/>
        <w:t>Membro Suplente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52" w:lineRule="exact"/>
        <w:ind w:left="242"/>
      </w:pPr>
      <w:r>
        <w:rPr/>
        <w:t>FREDERICO ANDRÉ RABELO</w:t>
      </w:r>
    </w:p>
    <w:p>
      <w:pPr>
        <w:pStyle w:val="BodyText"/>
        <w:spacing w:line="252" w:lineRule="exact"/>
        <w:ind w:left="242"/>
      </w:pPr>
      <w:r>
        <w:rPr/>
        <w:t>Membro Titular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ind w:right="239"/>
        <w:jc w:val="both"/>
        <w:rPr>
          <w:rFonts w:ascii="Calibri" w:hAnsi="Calibri"/>
        </w:rPr>
      </w:pPr>
      <w:r>
        <w:rPr>
          <w:rFonts w:ascii="Calibri" w:hAnsi="Calibri"/>
        </w:rPr>
        <w:t>Considerando a conjuntura epidemiológica, a necessidade de ações cautelosas em defesa da saúde dos conselheiros, convidados e colaboradores do Conselho e a implantação de reuniões deliberativas virtuais, atesto a veracidade e a autenticidade das informações prestadas.</w:t>
      </w:r>
    </w:p>
    <w:p>
      <w:pPr>
        <w:spacing w:after="0"/>
        <w:jc w:val="both"/>
        <w:rPr>
          <w:rFonts w:ascii="Calibri" w:hAnsi="Calibri"/>
        </w:rPr>
        <w:sectPr>
          <w:pgSz w:w="11910" w:h="16840"/>
          <w:pgMar w:header="495" w:footer="1106" w:top="1880" w:bottom="1300" w:left="1460" w:right="1460"/>
        </w:sectPr>
      </w:pPr>
    </w:p>
    <w:p>
      <w:pPr>
        <w:spacing w:line="235" w:lineRule="auto" w:before="13"/>
        <w:ind w:left="3088" w:right="-9" w:hanging="62"/>
        <w:jc w:val="left"/>
        <w:rPr>
          <w:rFonts w:ascii="Arial"/>
          <w:sz w:val="17"/>
        </w:rPr>
      </w:pPr>
      <w:r>
        <w:rPr/>
        <w:pict>
          <v:shape style="position:absolute;margin-left:210.476883pt;margin-top:19.839758pt;width:86.8pt;height:9.6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spacing w:line="191" w:lineRule="exact" w:before="0"/>
                    <w:ind w:left="0" w:right="0" w:firstLine="0"/>
                    <w:jc w:val="left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sz w:val="17"/>
                    </w:rPr>
                    <w:t>JUNIOR:03140198124</w:t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17"/>
        </w:rPr>
        <w:t>ROMEU JOSE JANKOWSKI</w:t>
      </w:r>
    </w:p>
    <w:p>
      <w:pPr>
        <w:spacing w:line="259" w:lineRule="auto" w:before="26"/>
        <w:ind w:left="285" w:right="2897" w:firstLine="0"/>
        <w:jc w:val="both"/>
        <w:rPr>
          <w:rFonts w:ascii="Arial"/>
          <w:sz w:val="5"/>
        </w:rPr>
      </w:pPr>
      <w:r>
        <w:rPr/>
        <w:br w:type="column"/>
      </w:r>
      <w:r>
        <w:rPr>
          <w:rFonts w:ascii="Arial"/>
          <w:w w:val="110"/>
          <w:sz w:val="5"/>
        </w:rPr>
        <w:t>Assinado digitalmente por ROMEU JOSE JANKOWSKI JUNIOR: 03140198124</w:t>
      </w:r>
    </w:p>
    <w:p>
      <w:pPr>
        <w:spacing w:line="259" w:lineRule="auto" w:before="0"/>
        <w:ind w:left="285" w:right="2758" w:firstLine="0"/>
        <w:jc w:val="both"/>
        <w:rPr>
          <w:rFonts w:ascii="Arial"/>
          <w:sz w:val="5"/>
        </w:rPr>
      </w:pPr>
      <w:r>
        <w:rPr/>
        <w:pict>
          <v:group style="position:absolute;margin-left:284.196991pt;margin-top:-5.544031pt;width:26.25pt;height:26.25pt;mso-position-horizontal-relative:page;mso-position-vertical-relative:paragraph;z-index:-15904256" coordorigin="5684,-111" coordsize="525,525">
            <v:shape style="position:absolute;left:5683;top:-111;width:525;height:525" coordorigin="5684,-111" coordsize="525,525" path="m6074,-111l5691,-111,5684,-104,5684,407,5691,414,6202,414,6209,407,6209,375,6169,375,5878,267,5868,189,5846,121,5812,57,5768,-5,5715,-72,6074,-72,6074,-111xm6074,-72l5715,-72,5770,-48,5837,-12,5910,34,5983,84,6051,134,6106,181,6120,227,6137,277,6154,327,6169,375,6209,375,6209,24,6109,24,6095,20,6084,12,6077,0,6074,-17,6074,-72xm6098,-111l6098,-11,6109,-3,6209,-3,6098,-111xe" filled="true" fillcolor="#e6cee6" stroked="false">
              <v:path arrowok="t"/>
              <v:fill type="solid"/>
            </v:shape>
            <v:shape style="position:absolute;left:5715;top:-72;width:454;height:447" coordorigin="5715,-72" coordsize="454,447" path="m5715,-72l5768,-5,5812,57,5846,121,5868,189,5878,267,6169,375,6154,327,6120,227,6106,181,6051,134,5983,84,5910,34,5837,-12,5770,-48,5715,-72xe" filled="true" fillcolor="#efd6ef" stroked="false">
              <v:path arrowok="t"/>
              <v:fill type="solid"/>
            </v:shape>
            <v:shape style="position:absolute;left:5962;top:177;width:134;height:125" type="#_x0000_t75" stroked="false">
              <v:imagedata r:id="rId11" o:title=""/>
            </v:shape>
            <v:shape style="position:absolute;left:5802;top:-27;width:287;height:403" coordorigin="5803,-27" coordsize="287,403" path="m5971,-27l5933,-24,5896,-11,5863,11,5834,40,5821,60,5811,83,5805,107,5803,131,5814,176,5845,216,5888,244,5938,255,5957,252,5978,246,5997,238,6009,230,6031,211,6036,203,5963,203,5927,198,5899,175,5883,137,5892,93,5913,64,5945,48,5982,42,6026,42,6018,33,5998,17,5977,7,6046,7,6046,7,6009,-18,5971,-27xm6011,90l6005,115,5990,135,5968,147,5943,148,5950,162,5962,173,5980,180,6004,183,5963,203,6036,203,6046,188,6057,163,6060,141,6059,124,6034,124,6029,113,6024,104,6019,96,6011,90xm6039,82l6038,96,6036,107,6035,115,6034,124,6059,124,6058,122,6054,106,6048,92,6039,82xm6046,7l5977,7,6014,15,6049,34,6076,57,6090,80,6075,41,6046,7xm6026,42l5982,42,5999,43,6018,51,6033,62,6041,71,6033,52,6026,42xm5880,295l5845,295,5845,375,5862,375,5862,347,5880,347,5898,339,5901,332,5862,332,5862,311,5901,311,5898,303,5880,295xm5901,311l5894,311,5894,332,5901,332,5904,321,5901,311xm5953,295l5918,295,5918,375,5953,375,5979,363,5980,360,5938,360,5938,311,5980,311,5979,308,5953,295xm5980,311l5953,311,5969,318,5974,335,5969,352,5953,360,5980,360,5987,335,5980,311xm6062,295l6004,295,6004,375,6023,375,6023,342,6062,342,6062,326,6023,326,6023,311,6062,311,6062,295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w w:val="110"/>
          <w:sz w:val="5"/>
        </w:rPr>
        <w:t>DN: C=BR, O=ICP-Brasil, OU=Autoridade Certificadora Raiz Brasileira v2, OU=AC SOLUTI, OU=AC SOLUTI Multipla, OU=Certificado PF A3, CN=ROMEU JOSE JANKOWSKI JUNIOR:03140198124</w:t>
      </w:r>
    </w:p>
    <w:p>
      <w:pPr>
        <w:spacing w:line="259" w:lineRule="auto" w:before="0"/>
        <w:ind w:left="285" w:right="3499" w:firstLine="0"/>
        <w:jc w:val="left"/>
        <w:rPr>
          <w:rFonts w:ascii="Arial" w:hAnsi="Arial"/>
          <w:sz w:val="5"/>
        </w:rPr>
      </w:pPr>
      <w:r>
        <w:rPr>
          <w:rFonts w:ascii="Arial" w:hAnsi="Arial"/>
          <w:w w:val="110"/>
          <w:sz w:val="5"/>
        </w:rPr>
        <w:t>Razão: Eu sou o autor deste documento Localização: Goiânia</w:t>
      </w:r>
    </w:p>
    <w:p>
      <w:pPr>
        <w:spacing w:after="0" w:line="259" w:lineRule="auto"/>
        <w:jc w:val="left"/>
        <w:rPr>
          <w:rFonts w:ascii="Arial" w:hAnsi="Arial"/>
          <w:sz w:val="5"/>
        </w:rPr>
        <w:sectPr>
          <w:type w:val="continuous"/>
          <w:pgSz w:w="11910" w:h="16840"/>
          <w:pgMar w:top="1880" w:bottom="1300" w:left="1460" w:right="1460"/>
          <w:cols w:num="2" w:equalWidth="0">
            <w:col w:w="4161" w:space="40"/>
            <w:col w:w="4789"/>
          </w:cols>
        </w:sectPr>
      </w:pPr>
    </w:p>
    <w:p>
      <w:pPr>
        <w:spacing w:line="56" w:lineRule="exact" w:before="0"/>
        <w:ind w:left="2004" w:right="1355" w:firstLine="0"/>
        <w:jc w:val="center"/>
        <w:rPr>
          <w:rFonts w:ascii="Arial"/>
          <w:sz w:val="5"/>
        </w:rPr>
      </w:pPr>
      <w:r>
        <w:rPr>
          <w:rFonts w:ascii="Arial"/>
          <w:w w:val="110"/>
          <w:sz w:val="5"/>
        </w:rPr>
        <w:t>Data: 2020-06-09</w:t>
      </w:r>
      <w:r>
        <w:rPr>
          <w:rFonts w:ascii="Arial"/>
          <w:spacing w:val="4"/>
          <w:w w:val="110"/>
          <w:sz w:val="5"/>
        </w:rPr>
        <w:t> </w:t>
      </w:r>
      <w:r>
        <w:rPr>
          <w:rFonts w:ascii="Arial"/>
          <w:w w:val="110"/>
          <w:sz w:val="5"/>
        </w:rPr>
        <w:t>13:35:52</w:t>
      </w:r>
    </w:p>
    <w:p>
      <w:pPr>
        <w:spacing w:before="4"/>
        <w:ind w:left="2004" w:right="1355" w:firstLine="0"/>
        <w:jc w:val="center"/>
        <w:rPr>
          <w:rFonts w:ascii="Arial" w:hAnsi="Arial"/>
          <w:sz w:val="5"/>
        </w:rPr>
      </w:pPr>
      <w:r>
        <w:rPr>
          <w:rFonts w:ascii="Arial" w:hAnsi="Arial"/>
          <w:w w:val="110"/>
          <w:sz w:val="5"/>
        </w:rPr>
        <w:t>Foxit Reader Versão:</w:t>
      </w:r>
      <w:r>
        <w:rPr>
          <w:rFonts w:ascii="Arial" w:hAnsi="Arial"/>
          <w:spacing w:val="4"/>
          <w:w w:val="110"/>
          <w:sz w:val="5"/>
        </w:rPr>
        <w:t> </w:t>
      </w:r>
      <w:r>
        <w:rPr>
          <w:rFonts w:ascii="Arial" w:hAnsi="Arial"/>
          <w:w w:val="110"/>
          <w:sz w:val="5"/>
        </w:rPr>
        <w:t>9.4.1</w:t>
      </w:r>
    </w:p>
    <w:p>
      <w:pPr>
        <w:pStyle w:val="Heading1"/>
        <w:spacing w:line="293" w:lineRule="exact" w:before="7"/>
        <w:ind w:left="2003"/>
        <w:jc w:val="center"/>
        <w:rPr>
          <w:rFonts w:ascii="Calibri" w:hAnsi="Calibri"/>
        </w:rPr>
      </w:pPr>
      <w:r>
        <w:rPr>
          <w:rFonts w:ascii="Calibri" w:hAnsi="Calibri"/>
        </w:rPr>
        <w:t>ROMEU JOSÉ JANKOWSKI JÚNIOR</w:t>
      </w:r>
    </w:p>
    <w:p>
      <w:pPr>
        <w:spacing w:before="0"/>
        <w:ind w:left="2003" w:right="2003" w:firstLine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Assessor de Plenário e Comissões do CAU/GO</w:t>
      </w:r>
    </w:p>
    <w:sectPr>
      <w:type w:val="continuous"/>
      <w:pgSz w:w="11910" w:h="16840"/>
      <w:pgMar w:top="1880" w:bottom="1300" w:left="14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9152">
          <wp:simplePos x="0" y="0"/>
          <wp:positionH relativeFrom="page">
            <wp:posOffset>78308</wp:posOffset>
          </wp:positionH>
          <wp:positionV relativeFrom="page">
            <wp:posOffset>9862987</wp:posOffset>
          </wp:positionV>
          <wp:extent cx="7395540" cy="449063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5540" cy="449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0176">
          <wp:simplePos x="0" y="0"/>
          <wp:positionH relativeFrom="page">
            <wp:posOffset>78308</wp:posOffset>
          </wp:positionH>
          <wp:positionV relativeFrom="page">
            <wp:posOffset>9862987</wp:posOffset>
          </wp:positionV>
          <wp:extent cx="7395540" cy="449063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5540" cy="449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1200">
          <wp:simplePos x="0" y="0"/>
          <wp:positionH relativeFrom="page">
            <wp:posOffset>78308</wp:posOffset>
          </wp:positionH>
          <wp:positionV relativeFrom="page">
            <wp:posOffset>9862987</wp:posOffset>
          </wp:positionV>
          <wp:extent cx="7395540" cy="449063"/>
          <wp:effectExtent l="0" t="0" r="0" b="0"/>
          <wp:wrapNone/>
          <wp:docPr id="1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5540" cy="449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8640">
          <wp:simplePos x="0" y="0"/>
          <wp:positionH relativeFrom="page">
            <wp:posOffset>78308</wp:posOffset>
          </wp:positionH>
          <wp:positionV relativeFrom="page">
            <wp:posOffset>314035</wp:posOffset>
          </wp:positionV>
          <wp:extent cx="7390967" cy="888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0967" cy="888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9664">
          <wp:simplePos x="0" y="0"/>
          <wp:positionH relativeFrom="page">
            <wp:posOffset>78308</wp:posOffset>
          </wp:positionH>
          <wp:positionV relativeFrom="page">
            <wp:posOffset>314035</wp:posOffset>
          </wp:positionV>
          <wp:extent cx="7390967" cy="888659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0967" cy="888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0688">
          <wp:simplePos x="0" y="0"/>
          <wp:positionH relativeFrom="page">
            <wp:posOffset>78308</wp:posOffset>
          </wp:positionH>
          <wp:positionV relativeFrom="page">
            <wp:posOffset>314035</wp:posOffset>
          </wp:positionV>
          <wp:extent cx="7390967" cy="888659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0967" cy="888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upperRoman"/>
      <w:lvlText w:val="%1"/>
      <w:lvlJc w:val="left"/>
      <w:pPr>
        <w:ind w:left="1682" w:hanging="13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10" w:hanging="1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41" w:hanging="1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71" w:hanging="1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2" w:hanging="1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3" w:hanging="1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3" w:hanging="1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4" w:hanging="1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25" w:hanging="137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1682" w:hanging="13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10" w:hanging="1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41" w:hanging="1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71" w:hanging="1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2" w:hanging="1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3" w:hanging="1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3" w:hanging="1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4" w:hanging="1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25" w:hanging="137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1682" w:hanging="13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10" w:hanging="1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41" w:hanging="1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71" w:hanging="1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2" w:hanging="1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3" w:hanging="1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3" w:hanging="1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4" w:hanging="1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25" w:hanging="13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1682" w:hanging="13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10" w:hanging="1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41" w:hanging="1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71" w:hanging="1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2" w:hanging="1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3" w:hanging="1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3" w:hanging="1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4" w:hanging="1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25" w:hanging="13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1682" w:hanging="13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10" w:hanging="1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41" w:hanging="1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71" w:hanging="1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2" w:hanging="1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3" w:hanging="1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3" w:hanging="1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4" w:hanging="1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25" w:hanging="13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682" w:hanging="13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10" w:hanging="1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41" w:hanging="1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71" w:hanging="1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2" w:hanging="1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3" w:hanging="1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3" w:hanging="1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4" w:hanging="1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25" w:hanging="130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42" w:right="2003"/>
      <w:outlineLvl w:val="1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242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82" w:right="236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image" Target="media/image3.png"/><Relationship Id="rId1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dc:title>PORTARIA Nº 02/2012 CAU-GO</dc:title>
  <dcterms:created xsi:type="dcterms:W3CDTF">2020-12-21T16:37:29Z</dcterms:created>
  <dcterms:modified xsi:type="dcterms:W3CDTF">2020-12-21T16:37:29Z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2020-12-21T00:00:00Z</vt:filetime>
  </property>
</Properties>
</file>